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6027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5E4BBF6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12EFA1F8">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4982E60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货物类</w:t>
      </w:r>
      <w:r>
        <w:rPr>
          <w:rFonts w:hint="eastAsia" w:ascii="宋体" w:hAnsi="宋体" w:eastAsia="宋体"/>
          <w:b/>
          <w:bCs/>
          <w:color w:val="auto"/>
          <w:sz w:val="52"/>
          <w:szCs w:val="52"/>
          <w:highlight w:val="none"/>
          <w:lang w:eastAsia="zh-CN"/>
        </w:rPr>
        <w:t>）</w:t>
      </w:r>
    </w:p>
    <w:p w14:paraId="7D48FC2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05A5585A">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参照</w:t>
      </w:r>
      <w:r>
        <w:rPr>
          <w:rFonts w:hint="eastAsia" w:ascii="宋体" w:hAnsi="宋体" w:eastAsia="宋体"/>
          <w:b/>
          <w:bCs/>
          <w:color w:val="auto"/>
          <w:sz w:val="52"/>
          <w:szCs w:val="52"/>
          <w:highlight w:val="none"/>
          <w:lang w:eastAsia="zh-CN"/>
        </w:rPr>
        <w:t>）</w:t>
      </w:r>
    </w:p>
    <w:p w14:paraId="76F94D91">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44ECBA78">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FDAC77F">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6461267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562358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296A0B6">
      <w:pPr>
        <w:tabs>
          <w:tab w:val="left" w:pos="2410"/>
        </w:tabs>
        <w:autoSpaceDE w:val="0"/>
        <w:autoSpaceDN w:val="0"/>
        <w:adjustRightInd w:val="0"/>
        <w:snapToGrid w:val="0"/>
        <w:spacing w:line="360" w:lineRule="auto"/>
        <w:ind w:left="-402" w:leftChars="-200" w:right="-512" w:rightChars="-244" w:hanging="18" w:hangingChars="5"/>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滁州技师学院2025年国赛计算机采购项目（二次）（二次）</w:t>
      </w:r>
    </w:p>
    <w:p w14:paraId="7688762F">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滁州市机电工程学校</w:t>
      </w:r>
    </w:p>
    <w:p w14:paraId="4AC8E603">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安徽百士德工程咨询有限公司</w:t>
      </w:r>
    </w:p>
    <w:p w14:paraId="3A98A36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BA6DF5C">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lang w:val="en-US" w:eastAsia="zh-CN"/>
        </w:rPr>
        <w:t>2025</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lang w:val="en-US" w:eastAsia="zh-CN"/>
        </w:rPr>
        <w:t>7</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05BC1EC9">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41683262">
      <w:pPr>
        <w:pStyle w:val="17"/>
        <w:keepNext w:val="0"/>
        <w:keepLines w:val="0"/>
        <w:pageBreakBefore w:val="0"/>
        <w:tabs>
          <w:tab w:val="right" w:leader="dot" w:pos="8306"/>
        </w:tabs>
        <w:kinsoku/>
        <w:wordWrap/>
        <w:overflowPunct/>
        <w:topLinePunct w:val="0"/>
        <w:autoSpaceDE/>
        <w:autoSpaceDN/>
        <w:bidi w:val="0"/>
        <w:adjustRightInd/>
        <w:snapToGrid/>
        <w:spacing w:after="120"/>
        <w:rPr>
          <w:color w:val="auto"/>
          <w:sz w:val="28"/>
          <w:szCs w:val="28"/>
          <w:highlight w:val="none"/>
        </w:rPr>
      </w:pPr>
      <w:r>
        <w:rPr>
          <w:rFonts w:asciiTheme="minorEastAsia" w:hAnsiTheme="minorEastAsia"/>
          <w:b/>
          <w:color w:val="auto"/>
          <w:sz w:val="28"/>
          <w:szCs w:val="28"/>
          <w:highlight w:val="none"/>
        </w:rPr>
        <w:fldChar w:fldCharType="begin"/>
      </w:r>
      <w:r>
        <w:rPr>
          <w:rFonts w:asciiTheme="minorEastAsia" w:hAnsiTheme="minorEastAsia"/>
          <w:b/>
          <w:color w:val="auto"/>
          <w:sz w:val="28"/>
          <w:szCs w:val="28"/>
          <w:highlight w:val="none"/>
        </w:rPr>
        <w:instrText xml:space="preserve"> </w:instrText>
      </w:r>
      <w:r>
        <w:rPr>
          <w:rFonts w:hint="eastAsia" w:asciiTheme="minorEastAsia" w:hAnsiTheme="minorEastAsia"/>
          <w:b/>
          <w:color w:val="auto"/>
          <w:sz w:val="28"/>
          <w:szCs w:val="28"/>
          <w:highlight w:val="none"/>
        </w:rPr>
        <w:instrText xml:space="preserve">TOC \o "1-2" \h \z \u</w:instrText>
      </w:r>
      <w:r>
        <w:rPr>
          <w:rFonts w:asciiTheme="minorEastAsia" w:hAnsiTheme="minorEastAsia"/>
          <w:b/>
          <w:color w:val="auto"/>
          <w:sz w:val="28"/>
          <w:szCs w:val="28"/>
          <w:highlight w:val="none"/>
        </w:rPr>
        <w:instrText xml:space="preserve"> </w:instrText>
      </w:r>
      <w:r>
        <w:rPr>
          <w:rFonts w:asciiTheme="minorEastAsia" w:hAnsiTheme="minorEastAsia"/>
          <w:b/>
          <w:color w:val="auto"/>
          <w:sz w:val="28"/>
          <w:szCs w:val="28"/>
          <w:highlight w:val="none"/>
        </w:rPr>
        <w:fldChar w:fldCharType="separate"/>
      </w:r>
      <w:r>
        <w:rPr>
          <w:rFonts w:asciiTheme="minorEastAsia" w:hAnsiTheme="minorEastAsia"/>
          <w:color w:val="auto"/>
          <w:sz w:val="28"/>
          <w:szCs w:val="28"/>
          <w:highlight w:val="none"/>
        </w:rPr>
        <w:fldChar w:fldCharType="begin"/>
      </w:r>
      <w:r>
        <w:rPr>
          <w:rFonts w:asciiTheme="minorEastAsia" w:hAnsiTheme="minorEastAsia"/>
          <w:color w:val="auto"/>
          <w:sz w:val="28"/>
          <w:szCs w:val="28"/>
          <w:highlight w:val="none"/>
        </w:rPr>
        <w:instrText xml:space="preserve"> HYPERLINK \l _Toc22972 </w:instrText>
      </w:r>
      <w:r>
        <w:rPr>
          <w:rFonts w:asciiTheme="minorEastAsia" w:hAnsi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 xml:space="preserve">第一章 </w:t>
      </w:r>
      <w:r>
        <w:rPr>
          <w:rFonts w:asciiTheme="minorEastAsia" w:hAnsiTheme="minorEastAsia" w:eastAsiaTheme="minorEastAsia"/>
          <w:color w:val="auto"/>
          <w:sz w:val="28"/>
          <w:szCs w:val="28"/>
          <w:highlight w:val="none"/>
        </w:rPr>
        <w:t xml:space="preserve"> 投标邀请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_Toc22972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asciiTheme="minorEastAsia" w:hAnsiTheme="minorEastAsia"/>
          <w:color w:val="auto"/>
          <w:sz w:val="28"/>
          <w:szCs w:val="28"/>
          <w:highlight w:val="none"/>
        </w:rPr>
        <w:fldChar w:fldCharType="end"/>
      </w:r>
    </w:p>
    <w:p w14:paraId="5952C3AC">
      <w:pPr>
        <w:pStyle w:val="17"/>
        <w:keepNext w:val="0"/>
        <w:keepLines w:val="0"/>
        <w:pageBreakBefore w:val="0"/>
        <w:tabs>
          <w:tab w:val="right" w:leader="dot" w:pos="8306"/>
        </w:tabs>
        <w:kinsoku/>
        <w:wordWrap/>
        <w:overflowPunct/>
        <w:topLinePunct w:val="0"/>
        <w:autoSpaceDE/>
        <w:autoSpaceDN/>
        <w:bidi w:val="0"/>
        <w:adjustRightInd/>
        <w:snapToGrid/>
        <w:spacing w:after="120"/>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_Toc22763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第二章</w:t>
      </w:r>
      <w:r>
        <w:rPr>
          <w:rFonts w:asciiTheme="minorEastAsia" w:hAnsiTheme="minorEastAsia" w:eastAsiaTheme="minorEastAsia"/>
          <w:color w:val="auto"/>
          <w:sz w:val="28"/>
          <w:szCs w:val="28"/>
          <w:highlight w:val="none"/>
        </w:rPr>
        <w:t xml:space="preserve"> </w:t>
      </w:r>
      <w:r>
        <w:rPr>
          <w:rFonts w:hint="eastAsia" w:asciiTheme="minorEastAsia" w:hAnsiTheme="minorEastAsia" w:eastAsiaTheme="minorEastAsia"/>
          <w:color w:val="auto"/>
          <w:sz w:val="28"/>
          <w:szCs w:val="28"/>
          <w:highlight w:val="none"/>
        </w:rPr>
        <w:t xml:space="preserve"> </w:t>
      </w:r>
      <w:r>
        <w:rPr>
          <w:rFonts w:asciiTheme="minorEastAsia" w:hAnsiTheme="minorEastAsia" w:eastAsiaTheme="minorEastAsia"/>
          <w:color w:val="auto"/>
          <w:sz w:val="28"/>
          <w:szCs w:val="28"/>
          <w:highlight w:val="none"/>
        </w:rPr>
        <w:t>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_Toc22763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7F46C094">
      <w:pPr>
        <w:pStyle w:val="17"/>
        <w:keepNext w:val="0"/>
        <w:keepLines w:val="0"/>
        <w:pageBreakBefore w:val="0"/>
        <w:tabs>
          <w:tab w:val="right" w:leader="dot" w:pos="8306"/>
        </w:tabs>
        <w:kinsoku/>
        <w:wordWrap/>
        <w:overflowPunct/>
        <w:topLinePunct w:val="0"/>
        <w:autoSpaceDE/>
        <w:autoSpaceDN/>
        <w:bidi w:val="0"/>
        <w:adjustRightInd/>
        <w:snapToGrid/>
        <w:spacing w:after="120"/>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_Toc23609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第三章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_Toc23609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09458844">
      <w:pPr>
        <w:pStyle w:val="17"/>
        <w:keepNext w:val="0"/>
        <w:keepLines w:val="0"/>
        <w:pageBreakBefore w:val="0"/>
        <w:tabs>
          <w:tab w:val="right" w:leader="dot" w:pos="8306"/>
        </w:tabs>
        <w:kinsoku/>
        <w:wordWrap/>
        <w:overflowPunct/>
        <w:topLinePunct w:val="0"/>
        <w:autoSpaceDE/>
        <w:autoSpaceDN/>
        <w:bidi w:val="0"/>
        <w:adjustRightInd/>
        <w:snapToGrid/>
        <w:spacing w:after="120"/>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_Toc4269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第四章  评标方法和标准（综合评分法）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_Toc4269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3AA0E3ED">
      <w:pPr>
        <w:pStyle w:val="17"/>
        <w:keepNext w:val="0"/>
        <w:keepLines w:val="0"/>
        <w:pageBreakBefore w:val="0"/>
        <w:tabs>
          <w:tab w:val="right" w:leader="dot" w:pos="8306"/>
        </w:tabs>
        <w:kinsoku/>
        <w:wordWrap/>
        <w:overflowPunct/>
        <w:topLinePunct w:val="0"/>
        <w:autoSpaceDE/>
        <w:autoSpaceDN/>
        <w:bidi w:val="0"/>
        <w:adjustRightInd/>
        <w:snapToGrid/>
        <w:spacing w:after="120"/>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_Toc13673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 xml:space="preserve">第五章  </w:t>
      </w:r>
      <w:r>
        <w:rPr>
          <w:rFonts w:asciiTheme="minorEastAsia" w:hAnsiTheme="minorEastAsia" w:eastAsiaTheme="minorEastAsia"/>
          <w:color w:val="auto"/>
          <w:sz w:val="28"/>
          <w:szCs w:val="28"/>
          <w:highlight w:val="none"/>
        </w:rPr>
        <w:t>采购合同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_Toc13673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09051B01">
      <w:pPr>
        <w:pStyle w:val="17"/>
        <w:keepNext w:val="0"/>
        <w:keepLines w:val="0"/>
        <w:pageBreakBefore w:val="0"/>
        <w:tabs>
          <w:tab w:val="right" w:leader="dot" w:pos="8306"/>
        </w:tabs>
        <w:kinsoku/>
        <w:wordWrap/>
        <w:overflowPunct/>
        <w:topLinePunct w:val="0"/>
        <w:autoSpaceDE/>
        <w:autoSpaceDN/>
        <w:bidi w:val="0"/>
        <w:adjustRightInd/>
        <w:snapToGrid/>
        <w:spacing w:after="120"/>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_Toc18781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_Toc18781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2B101772">
      <w:pPr>
        <w:pStyle w:val="17"/>
        <w:keepNext w:val="0"/>
        <w:keepLines w:val="0"/>
        <w:pageBreakBefore w:val="0"/>
        <w:tabs>
          <w:tab w:val="right" w:leader="dot" w:pos="8306"/>
        </w:tabs>
        <w:kinsoku/>
        <w:wordWrap/>
        <w:overflowPunct/>
        <w:topLinePunct w:val="0"/>
        <w:autoSpaceDE/>
        <w:autoSpaceDN/>
        <w:bidi w:val="0"/>
        <w:adjustRightInd/>
        <w:snapToGrid/>
        <w:spacing w:after="120"/>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_Toc28085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w:t>
      </w:r>
      <w:r>
        <w:rPr>
          <w:rFonts w:hint="eastAsia" w:asciiTheme="minorEastAsia" w:hAnsiTheme="minorEastAsia" w:eastAsiaTheme="minorEastAsia"/>
          <w:color w:val="auto"/>
          <w:sz w:val="28"/>
          <w:szCs w:val="28"/>
          <w:highlight w:val="none"/>
          <w:lang w:val="en-US" w:eastAsia="zh-CN"/>
        </w:rPr>
        <w:t>七</w:t>
      </w:r>
      <w:r>
        <w:rPr>
          <w:rFonts w:hint="eastAsia" w:asciiTheme="minorEastAsia" w:hAnsiTheme="minorEastAsia" w:eastAsiaTheme="minorEastAsia"/>
          <w:color w:val="auto"/>
          <w:sz w:val="28"/>
          <w:szCs w:val="28"/>
          <w:highlight w:val="none"/>
        </w:rPr>
        <w:t>章</w:t>
      </w:r>
      <w:r>
        <w:rPr>
          <w:rFonts w:hint="eastAsia" w:ascii="宋体" w:hAnsi="宋体" w:eastAsia="宋体"/>
          <w:bCs/>
          <w:color w:val="auto"/>
          <w:sz w:val="28"/>
          <w:szCs w:val="28"/>
          <w:highlight w:val="none"/>
        </w:rPr>
        <w:t xml:space="preserve"> </w:t>
      </w:r>
      <w:r>
        <w:rPr>
          <w:rFonts w:hint="eastAsia" w:ascii="宋体" w:hAnsi="宋体" w:eastAsia="宋体"/>
          <w:bCs/>
          <w:color w:val="auto"/>
          <w:sz w:val="28"/>
          <w:szCs w:val="28"/>
          <w:highlight w:val="none"/>
          <w:lang w:val="en-US" w:eastAsia="zh-CN"/>
        </w:rPr>
        <w:t xml:space="preserve"> </w:t>
      </w:r>
      <w:r>
        <w:rPr>
          <w:rFonts w:hint="eastAsia" w:ascii="宋体" w:hAnsi="宋体" w:eastAsia="宋体"/>
          <w:bCs/>
          <w:color w:val="auto"/>
          <w:sz w:val="28"/>
          <w:szCs w:val="28"/>
          <w:highlight w:val="none"/>
        </w:rPr>
        <w:t>采购</w:t>
      </w:r>
      <w:r>
        <w:rPr>
          <w:rFonts w:hint="eastAsia" w:asciiTheme="minorEastAsia" w:hAnsiTheme="minorEastAsia" w:eastAsiaTheme="minorEastAsia"/>
          <w:color w:val="auto"/>
          <w:sz w:val="28"/>
          <w:szCs w:val="28"/>
          <w:highlight w:val="none"/>
        </w:rPr>
        <w:t>供应</w:t>
      </w:r>
      <w:r>
        <w:rPr>
          <w:rFonts w:hint="eastAsia" w:ascii="宋体" w:hAnsi="宋体" w:eastAsia="宋体"/>
          <w:bCs/>
          <w:color w:val="auto"/>
          <w:sz w:val="28"/>
          <w:szCs w:val="28"/>
          <w:highlight w:val="none"/>
        </w:rPr>
        <w:t>商询问函和质疑函范本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_Toc28085 \h </w:instrText>
      </w:r>
      <w:r>
        <w:rPr>
          <w:color w:val="auto"/>
          <w:sz w:val="28"/>
          <w:szCs w:val="28"/>
          <w:highlight w:val="none"/>
        </w:rPr>
        <w:fldChar w:fldCharType="separate"/>
      </w:r>
      <w:r>
        <w:rPr>
          <w:color w:val="auto"/>
          <w:sz w:val="28"/>
          <w:szCs w:val="28"/>
          <w:highlight w:val="none"/>
        </w:rPr>
        <w:t>43</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4615A4F1">
      <w:pPr>
        <w:keepNext w:val="0"/>
        <w:keepLines w:val="0"/>
        <w:pageBreakBefore w:val="0"/>
        <w:kinsoku/>
        <w:wordWrap/>
        <w:overflowPunct/>
        <w:topLinePunct w:val="0"/>
        <w:autoSpaceDE/>
        <w:autoSpaceDN/>
        <w:bidi w:val="0"/>
        <w:adjustRightInd/>
        <w:snapToGrid/>
        <w:spacing w:after="120" w:line="360" w:lineRule="auto"/>
        <w:rPr>
          <w:rFonts w:asciiTheme="minorEastAsia" w:hAnsiTheme="minorEastAsia" w:eastAsiaTheme="minorEastAsia"/>
          <w:b/>
          <w:color w:val="auto"/>
          <w:sz w:val="32"/>
          <w:highlight w:val="none"/>
        </w:rPr>
      </w:pPr>
      <w:r>
        <w:rPr>
          <w:rFonts w:asciiTheme="minorEastAsia" w:hAnsiTheme="minorEastAsia" w:eastAsiaTheme="minorEastAsia"/>
          <w:color w:val="auto"/>
          <w:sz w:val="28"/>
          <w:szCs w:val="28"/>
          <w:highlight w:val="none"/>
        </w:rPr>
        <w:fldChar w:fldCharType="end"/>
      </w:r>
    </w:p>
    <w:p w14:paraId="4944E2B0">
      <w:pPr>
        <w:pStyle w:val="8"/>
        <w:rPr>
          <w:color w:val="auto"/>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1BFC4F3E">
      <w:pPr>
        <w:spacing w:line="360" w:lineRule="auto"/>
        <w:jc w:val="center"/>
        <w:outlineLvl w:val="0"/>
        <w:rPr>
          <w:rFonts w:asciiTheme="minorEastAsia" w:hAnsiTheme="minorEastAsia" w:eastAsiaTheme="minorEastAsia"/>
          <w:b/>
          <w:color w:val="auto"/>
          <w:sz w:val="28"/>
          <w:highlight w:val="none"/>
        </w:rPr>
      </w:pPr>
      <w:bookmarkStart w:id="0" w:name="_Toc22972"/>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0"/>
    </w:p>
    <w:p w14:paraId="04C5BAE5">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项目概况</w:t>
      </w:r>
    </w:p>
    <w:p w14:paraId="027DFB86">
      <w:pPr>
        <w:keepNext w:val="0"/>
        <w:keepLines w:val="0"/>
        <w:widowControl w:val="0"/>
        <w:suppressLineNumbers w:val="0"/>
        <w:wordWrap w:val="0"/>
        <w:autoSpaceDE w:val="0"/>
        <w:autoSpaceDN/>
        <w:spacing w:before="0" w:beforeAutospacing="0" w:after="0" w:afterAutospacing="0" w:line="360" w:lineRule="auto"/>
        <w:ind w:left="0" w:right="0" w:firstLine="437"/>
        <w:jc w:val="both"/>
        <w:outlineLvl w:val="9"/>
        <w:rPr>
          <w:rFonts w:hint="eastAsia" w:ascii="宋体" w:hAnsi="宋体" w:eastAsia="宋体" w:cs="@仿宋_GB2312"/>
          <w:b/>
          <w:bCs w:val="0"/>
          <w:color w:val="auto"/>
          <w:kern w:val="2"/>
          <w:sz w:val="28"/>
          <w:szCs w:val="28"/>
          <w:highlight w:val="none"/>
        </w:rPr>
      </w:pPr>
      <w:r>
        <w:rPr>
          <w:rFonts w:hint="eastAsia" w:ascii="宋体" w:hAnsi="宋体" w:eastAsia="宋体" w:cs="宋体"/>
          <w:color w:val="auto"/>
          <w:kern w:val="2"/>
          <w:sz w:val="24"/>
          <w:szCs w:val="24"/>
          <w:highlight w:val="none"/>
          <w:u w:val="single"/>
          <w:lang w:val="en-US" w:eastAsia="zh-CN" w:bidi="ar"/>
        </w:rPr>
        <w:t>滁州技师学院2025年国赛计算机采购项目（二次）</w:t>
      </w:r>
      <w:r>
        <w:rPr>
          <w:rFonts w:hint="eastAsia" w:ascii="宋体" w:hAnsi="宋体" w:eastAsia="宋体" w:cs="宋体"/>
          <w:color w:val="auto"/>
          <w:kern w:val="2"/>
          <w:sz w:val="24"/>
          <w:szCs w:val="24"/>
          <w:highlight w:val="none"/>
          <w:lang w:val="en-US" w:eastAsia="zh-CN" w:bidi="ar"/>
        </w:rPr>
        <w:t>的潜在投标人应在</w:t>
      </w:r>
      <w:r>
        <w:rPr>
          <w:rFonts w:hint="eastAsia" w:ascii="宋体" w:hAnsi="宋体" w:eastAsia="宋体" w:cs="宋体"/>
          <w:color w:val="auto"/>
          <w:kern w:val="2"/>
          <w:sz w:val="24"/>
          <w:szCs w:val="24"/>
          <w:highlight w:val="none"/>
          <w:u w:val="single"/>
          <w:lang w:val="en-US" w:eastAsia="zh-CN" w:bidi="ar"/>
        </w:rPr>
        <w:t>滁州市机电工程学校官网（http://www.cztc.edu.cn/）</w:t>
      </w:r>
      <w:r>
        <w:rPr>
          <w:rFonts w:hint="eastAsia" w:ascii="宋体" w:hAnsi="宋体" w:eastAsia="宋体" w:cs="宋体"/>
          <w:color w:val="auto"/>
          <w:kern w:val="2"/>
          <w:sz w:val="24"/>
          <w:szCs w:val="24"/>
          <w:highlight w:val="none"/>
          <w:lang w:val="en-US" w:eastAsia="zh-CN" w:bidi="ar"/>
        </w:rPr>
        <w:t>获取招标文件，并于</w:t>
      </w:r>
      <w:r>
        <w:rPr>
          <w:rFonts w:hint="eastAsia" w:ascii="宋体" w:hAnsi="宋体" w:eastAsia="宋体" w:cs="宋体"/>
          <w:color w:val="auto"/>
          <w:kern w:val="2"/>
          <w:sz w:val="24"/>
          <w:szCs w:val="24"/>
          <w:highlight w:val="none"/>
          <w:u w:val="single"/>
          <w:lang w:val="en-US" w:eastAsia="zh-CN" w:bidi="ar"/>
        </w:rPr>
        <w:t>2025年</w:t>
      </w:r>
      <w:r>
        <w:rPr>
          <w:rFonts w:hint="eastAsia" w:ascii="宋体" w:hAnsi="宋体" w:eastAsia="宋体" w:cs="@仿宋_GB2312"/>
          <w:color w:val="auto"/>
          <w:kern w:val="2"/>
          <w:sz w:val="24"/>
          <w:szCs w:val="24"/>
          <w:highlight w:val="none"/>
          <w:u w:val="single"/>
          <w:lang w:val="en-US" w:eastAsia="zh-CN" w:bidi="ar"/>
        </w:rPr>
        <w:t>8</w:t>
      </w:r>
      <w:r>
        <w:rPr>
          <w:rFonts w:hint="eastAsia" w:ascii="宋体" w:hAnsi="宋体" w:eastAsia="宋体" w:cs="宋体"/>
          <w:color w:val="auto"/>
          <w:kern w:val="2"/>
          <w:sz w:val="24"/>
          <w:szCs w:val="24"/>
          <w:highlight w:val="none"/>
          <w:u w:val="single"/>
          <w:lang w:val="en-US" w:eastAsia="zh-CN" w:bidi="ar"/>
        </w:rPr>
        <w:t>月1日9点30分</w:t>
      </w:r>
      <w:r>
        <w:rPr>
          <w:rFonts w:hint="eastAsia" w:ascii="宋体" w:hAnsi="宋体" w:eastAsia="宋体" w:cs="宋体"/>
          <w:color w:val="auto"/>
          <w:kern w:val="2"/>
          <w:sz w:val="24"/>
          <w:szCs w:val="24"/>
          <w:highlight w:val="none"/>
          <w:lang w:val="en-US" w:eastAsia="zh-CN" w:bidi="ar"/>
        </w:rPr>
        <w:t>（北京时间）前递交投标文件。</w:t>
      </w:r>
    </w:p>
    <w:p w14:paraId="4C34ACFD">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一、项目基本情况</w:t>
      </w:r>
    </w:p>
    <w:p w14:paraId="3CCC0D5F">
      <w:pPr>
        <w:keepNext w:val="0"/>
        <w:keepLines w:val="0"/>
        <w:widowControl w:val="0"/>
        <w:suppressLineNumbers w:val="0"/>
        <w:spacing w:before="0" w:beforeAutospacing="0" w:after="0" w:afterAutospacing="0" w:line="360" w:lineRule="auto"/>
        <w:ind w:left="0" w:right="0" w:firstLine="240" w:firstLineChars="100"/>
        <w:jc w:val="left"/>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项目名称：滁州技师学院2025年国赛计算机采购项目（二次）</w:t>
      </w:r>
    </w:p>
    <w:p w14:paraId="36940947">
      <w:pPr>
        <w:keepNext w:val="0"/>
        <w:keepLines w:val="0"/>
        <w:widowControl w:val="0"/>
        <w:suppressLineNumbers w:val="0"/>
        <w:spacing w:before="0" w:beforeAutospacing="0" w:after="0" w:afterAutospacing="0" w:line="360" w:lineRule="auto"/>
        <w:ind w:left="0" w:right="0" w:firstLine="240" w:firstLineChars="100"/>
        <w:jc w:val="left"/>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预算金额：29.6万元</w:t>
      </w:r>
    </w:p>
    <w:p w14:paraId="147B413D">
      <w:pPr>
        <w:keepNext w:val="0"/>
        <w:keepLines w:val="0"/>
        <w:widowControl w:val="0"/>
        <w:suppressLineNumbers w:val="0"/>
        <w:spacing w:before="0" w:beforeAutospacing="0" w:after="0" w:afterAutospacing="0" w:line="360" w:lineRule="auto"/>
        <w:ind w:left="0" w:right="0" w:firstLine="240" w:firstLineChars="100"/>
        <w:jc w:val="left"/>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最高限价：</w:t>
      </w:r>
      <w:r>
        <w:rPr>
          <w:rFonts w:hint="eastAsia" w:ascii="宋体" w:hAnsi="宋体" w:eastAsia="宋体" w:cs="宋体"/>
          <w:b w:val="0"/>
          <w:bCs w:val="0"/>
          <w:color w:val="auto"/>
          <w:kern w:val="2"/>
          <w:sz w:val="24"/>
          <w:szCs w:val="24"/>
          <w:highlight w:val="none"/>
          <w:lang w:val="en-US" w:eastAsia="zh-CN" w:bidi="ar"/>
        </w:rPr>
        <w:t>29.6万元</w:t>
      </w:r>
      <w:r>
        <w:rPr>
          <w:rFonts w:hint="eastAsia" w:ascii="宋体" w:hAnsi="宋体" w:eastAsia="宋体" w:cs="宋体"/>
          <w:color w:val="auto"/>
          <w:kern w:val="2"/>
          <w:sz w:val="24"/>
          <w:szCs w:val="24"/>
          <w:highlight w:val="none"/>
          <w:lang w:val="en-US" w:eastAsia="zh-CN" w:bidi="ar"/>
        </w:rPr>
        <w:t>，投标报价不得高于最高限价，否则其投标文件按无效投标处理。</w:t>
      </w:r>
    </w:p>
    <w:p w14:paraId="36411EB3">
      <w:pPr>
        <w:keepNext w:val="0"/>
        <w:keepLines w:val="0"/>
        <w:widowControl w:val="0"/>
        <w:suppressLineNumbers w:val="0"/>
        <w:spacing w:before="0" w:beforeAutospacing="0" w:after="0" w:afterAutospacing="0" w:line="360" w:lineRule="auto"/>
        <w:ind w:left="0" w:right="0" w:firstLine="240" w:firstLineChars="100"/>
        <w:jc w:val="left"/>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采购需求：详见招标文件第三章采购需求。</w:t>
      </w:r>
    </w:p>
    <w:p w14:paraId="58AC9DC4">
      <w:pPr>
        <w:keepNext w:val="0"/>
        <w:keepLines w:val="0"/>
        <w:widowControl w:val="0"/>
        <w:suppressLineNumbers w:val="0"/>
        <w:spacing w:before="0" w:beforeAutospacing="0" w:after="0" w:afterAutospacing="0" w:line="360" w:lineRule="auto"/>
        <w:ind w:left="0" w:right="0" w:firstLine="240" w:firstLineChars="100"/>
        <w:jc w:val="left"/>
        <w:outlineLvl w:val="9"/>
        <w:rPr>
          <w:rFonts w:hint="default" w:ascii="宋体" w:hAnsi="宋体" w:eastAsia="宋体" w:cs="@仿宋_GB2312"/>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合同履行期限：自合同签订之日起</w:t>
      </w:r>
      <w:r>
        <w:rPr>
          <w:rFonts w:hint="eastAsia" w:ascii="宋体" w:hAnsi="宋体" w:eastAsia="宋体" w:cs="宋体"/>
          <w:b w:val="0"/>
          <w:bCs w:val="0"/>
          <w:color w:val="auto"/>
          <w:kern w:val="2"/>
          <w:sz w:val="24"/>
          <w:szCs w:val="24"/>
          <w:highlight w:val="none"/>
          <w:lang w:val="en-US" w:eastAsia="zh-CN" w:bidi="ar"/>
        </w:rPr>
        <w:t>10个日历天内</w:t>
      </w:r>
      <w:r>
        <w:rPr>
          <w:rFonts w:hint="eastAsia" w:ascii="宋体" w:hAnsi="宋体" w:eastAsia="宋体" w:cs="宋体"/>
          <w:color w:val="auto"/>
          <w:kern w:val="2"/>
          <w:sz w:val="24"/>
          <w:szCs w:val="24"/>
          <w:highlight w:val="none"/>
          <w:lang w:val="en-US" w:eastAsia="zh-CN" w:bidi="ar"/>
        </w:rPr>
        <w:t>完成供货、安装及调试完毕。</w:t>
      </w:r>
    </w:p>
    <w:p w14:paraId="2894885B">
      <w:pPr>
        <w:keepNext w:val="0"/>
        <w:keepLines w:val="0"/>
        <w:widowControl w:val="0"/>
        <w:suppressLineNumbers w:val="0"/>
        <w:spacing w:before="0" w:beforeAutospacing="0" w:after="0" w:afterAutospacing="0" w:line="360" w:lineRule="auto"/>
        <w:ind w:left="0" w:right="0" w:firstLine="240" w:firstLineChars="100"/>
        <w:jc w:val="left"/>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本项目不接受联合体投标。</w:t>
      </w:r>
    </w:p>
    <w:p w14:paraId="7F40AA1B">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二、申请人的资格要求</w:t>
      </w:r>
    </w:p>
    <w:p w14:paraId="55251AA5">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1.供应商须具有有效的营业执照；</w:t>
      </w:r>
    </w:p>
    <w:p w14:paraId="0B4B38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2.信誉要求：投标人不得存在以下情形：</w:t>
      </w:r>
    </w:p>
    <w:p w14:paraId="742582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①被列入“信用中国”网站“失信被执行人”的；</w:t>
      </w:r>
    </w:p>
    <w:p w14:paraId="300B57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②被列入“信用中国”网站“重大税收违法失信主体”的；</w:t>
      </w:r>
    </w:p>
    <w:p w14:paraId="1B152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③被列入“信用中国”网站 “严重失信主体名单”的；</w:t>
      </w:r>
    </w:p>
    <w:p w14:paraId="5CCDBA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④在“信用中国”网站上披露的仍在公示期的严重失信行为(具体行为类别及判定依据见“信用中国”查询的严重失信行为类别及判定依据)的。</w:t>
      </w:r>
    </w:p>
    <w:p w14:paraId="23794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⑤被列入国家企业信用信息公示系统网站“经营异常名录”或者“严重违法失信名单”的。</w:t>
      </w:r>
    </w:p>
    <w:p w14:paraId="467516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⑥被列入中国政府采购网站“政府采购严重违法失信行为信息记录”的。</w:t>
      </w:r>
    </w:p>
    <w:p w14:paraId="573F16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⑦前三年有行贿犯罪行为的单位和个人。</w:t>
      </w:r>
    </w:p>
    <w:p w14:paraId="5D4E63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3.投标人所属分公司、办事处等分支机构存在第4款信誉要求①-⑦项情形之一的，接受投标人参加本项目。</w:t>
      </w:r>
    </w:p>
    <w:p w14:paraId="66B6CC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备注：第2、3条按照“关于联合惩戒失信行为加强信用查询管理的通知”查询或承诺。</w:t>
      </w:r>
    </w:p>
    <w:p w14:paraId="387605CA">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三、获取招标文件</w:t>
      </w:r>
    </w:p>
    <w:p w14:paraId="560ADFF1">
      <w:pPr>
        <w:keepNext w:val="0"/>
        <w:keepLines w:val="0"/>
        <w:widowControl w:val="0"/>
        <w:suppressLineNumbers w:val="0"/>
        <w:spacing w:before="0" w:beforeAutospacing="0" w:after="0" w:afterAutospacing="0" w:line="360" w:lineRule="auto"/>
        <w:ind w:left="0" w:right="0" w:firstLine="540"/>
        <w:jc w:val="both"/>
        <w:outlineLvl w:val="9"/>
        <w:rPr>
          <w:rFonts w:hint="eastAsia" w:ascii="宋体" w:hAnsi="宋体" w:eastAsia="宋体" w:cs="宋体"/>
          <w:i/>
          <w:i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时间：2025年7月25日至2025年8月1日</w:t>
      </w:r>
    </w:p>
    <w:p w14:paraId="4CFD6EC3">
      <w:pPr>
        <w:keepNext w:val="0"/>
        <w:keepLines w:val="0"/>
        <w:widowControl w:val="0"/>
        <w:suppressLineNumbers w:val="0"/>
        <w:wordWrap w:val="0"/>
        <w:autoSpaceDE w:val="0"/>
        <w:autoSpaceDN/>
        <w:spacing w:before="0" w:beforeAutospacing="0" w:after="0" w:afterAutospacing="0" w:line="360" w:lineRule="auto"/>
        <w:ind w:left="0" w:right="0" w:firstLine="539"/>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地点：滁州市机电工程学校官网</w:t>
      </w:r>
    </w:p>
    <w:p w14:paraId="13FE13BC">
      <w:pPr>
        <w:keepNext w:val="0"/>
        <w:keepLines w:val="0"/>
        <w:widowControl w:val="0"/>
        <w:suppressLineNumbers w:val="0"/>
        <w:spacing w:before="0" w:beforeAutospacing="0" w:after="0" w:afterAutospacing="0" w:line="360" w:lineRule="auto"/>
        <w:ind w:left="0" w:right="0" w:firstLine="540"/>
        <w:jc w:val="both"/>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方式：网上自行下载</w:t>
      </w:r>
    </w:p>
    <w:p w14:paraId="7DDE8618">
      <w:pPr>
        <w:keepNext w:val="0"/>
        <w:keepLines w:val="0"/>
        <w:widowControl w:val="0"/>
        <w:suppressLineNumbers w:val="0"/>
        <w:autoSpaceDE w:val="0"/>
        <w:autoSpaceDN/>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四、开标时间和地点</w:t>
      </w:r>
    </w:p>
    <w:p w14:paraId="0BD880F2">
      <w:pPr>
        <w:keepNext w:val="0"/>
        <w:keepLines w:val="0"/>
        <w:widowControl w:val="0"/>
        <w:suppressLineNumbers w:val="0"/>
        <w:autoSpaceDE w:val="0"/>
        <w:autoSpaceDN/>
        <w:spacing w:before="0" w:beforeAutospacing="0" w:after="0" w:afterAutospacing="0" w:line="360" w:lineRule="auto"/>
        <w:ind w:left="0" w:right="0" w:firstLine="480" w:firstLineChars="200"/>
        <w:jc w:val="both"/>
        <w:outlineLvl w:val="9"/>
        <w:rPr>
          <w:rFonts w:hint="eastAsia" w:ascii="宋体" w:hAnsi="宋体" w:eastAsia="宋体" w:cs="宋体"/>
          <w:bCs/>
          <w:color w:val="auto"/>
          <w:kern w:val="2"/>
          <w:sz w:val="24"/>
          <w:szCs w:val="24"/>
          <w:highlight w:val="none"/>
        </w:rPr>
      </w:pPr>
      <w:r>
        <w:rPr>
          <w:rFonts w:hint="eastAsia" w:ascii="宋体" w:hAnsi="宋体" w:eastAsia="宋体" w:cs="宋体"/>
          <w:i w:val="0"/>
          <w:iCs w:val="0"/>
          <w:color w:val="auto"/>
          <w:spacing w:val="0"/>
          <w:kern w:val="2"/>
          <w:sz w:val="24"/>
          <w:szCs w:val="24"/>
          <w:highlight w:val="none"/>
          <w:shd w:val="clear" w:fill="FFFFFF"/>
          <w:lang w:val="en-US" w:eastAsia="zh-CN" w:bidi="ar"/>
        </w:rPr>
        <w:t>开标时间：</w:t>
      </w:r>
      <w:r>
        <w:rPr>
          <w:rFonts w:hint="eastAsia" w:ascii="宋体" w:hAnsi="宋体" w:eastAsia="宋体" w:cs="宋体"/>
          <w:bCs/>
          <w:color w:val="auto"/>
          <w:kern w:val="2"/>
          <w:sz w:val="24"/>
          <w:szCs w:val="24"/>
          <w:highlight w:val="none"/>
          <w:lang w:val="en-US" w:eastAsia="zh-CN" w:bidi="ar"/>
        </w:rPr>
        <w:t>2025年8月1日9点30分（北京时间）</w:t>
      </w:r>
    </w:p>
    <w:p w14:paraId="51C72F29">
      <w:pPr>
        <w:keepNext w:val="0"/>
        <w:keepLines w:val="0"/>
        <w:widowControl w:val="0"/>
        <w:suppressLineNumbers w:val="0"/>
        <w:autoSpaceDE w:val="0"/>
        <w:autoSpaceDN/>
        <w:spacing w:before="0" w:beforeAutospacing="0" w:after="0" w:afterAutospacing="0" w:line="360" w:lineRule="auto"/>
        <w:ind w:right="0" w:firstLine="480" w:firstLineChars="200"/>
        <w:jc w:val="both"/>
        <w:outlineLvl w:val="9"/>
        <w:rPr>
          <w:rFonts w:hint="default" w:ascii="宋体" w:hAnsi="宋体" w:eastAsia="宋体" w:cs="@仿宋_GB2312"/>
          <w:b w:val="0"/>
          <w:bCs w:val="0"/>
          <w:color w:val="auto"/>
          <w:kern w:val="2"/>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地点：安徽百士德工程咨询有限公司一楼会议室（滁州市会峰西路72-11号）</w:t>
      </w:r>
    </w:p>
    <w:p w14:paraId="209390C6">
      <w:pPr>
        <w:keepNext w:val="0"/>
        <w:keepLines w:val="0"/>
        <w:widowControl w:val="0"/>
        <w:suppressLineNumbers w:val="0"/>
        <w:spacing w:before="0" w:beforeAutospacing="0" w:after="0" w:afterAutospacing="0" w:line="360" w:lineRule="auto"/>
        <w:ind w:right="0"/>
        <w:jc w:val="left"/>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五、公告期限</w:t>
      </w:r>
    </w:p>
    <w:p w14:paraId="661575D9">
      <w:pPr>
        <w:keepNext w:val="0"/>
        <w:keepLines w:val="0"/>
        <w:widowControl w:val="0"/>
        <w:suppressLineNumbers w:val="0"/>
        <w:autoSpaceDE w:val="0"/>
        <w:autoSpaceDN/>
        <w:spacing w:before="0" w:beforeAutospacing="0" w:after="0" w:afterAutospacing="0" w:line="360" w:lineRule="auto"/>
        <w:ind w:left="0" w:right="0" w:firstLine="437"/>
        <w:jc w:val="both"/>
        <w:outlineLvl w:val="9"/>
        <w:rPr>
          <w:rFonts w:hint="eastAsia" w:ascii="宋体" w:hAnsi="宋体" w:eastAsia="宋体" w:cs="@仿宋_GB2312"/>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自本公告发布之日起5个工作日。</w:t>
      </w:r>
    </w:p>
    <w:p w14:paraId="4B70D60B">
      <w:pPr>
        <w:keepNext w:val="0"/>
        <w:keepLines w:val="0"/>
        <w:widowControl w:val="0"/>
        <w:suppressLineNumbers w:val="0"/>
        <w:autoSpaceDE w:val="0"/>
        <w:autoSpaceDN/>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六、投标保证金</w:t>
      </w:r>
    </w:p>
    <w:p w14:paraId="1129FF1B">
      <w:pPr>
        <w:keepNext w:val="0"/>
        <w:keepLines w:val="0"/>
        <w:widowControl w:val="0"/>
        <w:suppressLineNumbers w:val="0"/>
        <w:autoSpaceDE w:val="0"/>
        <w:autoSpaceDN/>
        <w:spacing w:before="0" w:beforeAutospacing="0" w:after="0" w:afterAutospacing="0" w:line="360" w:lineRule="auto"/>
        <w:ind w:left="0" w:right="0" w:firstLine="437"/>
        <w:jc w:val="both"/>
        <w:outlineLvl w:val="9"/>
        <w:rPr>
          <w:rFonts w:hint="eastAsia" w:ascii="宋体" w:hAnsi="宋体" w:eastAsia="宋体" w:cs="@仿宋_GB2312"/>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不要求</w:t>
      </w:r>
    </w:p>
    <w:p w14:paraId="23E6D7D1">
      <w:pPr>
        <w:keepNext w:val="0"/>
        <w:keepLines w:val="0"/>
        <w:widowControl w:val="0"/>
        <w:suppressLineNumbers w:val="0"/>
        <w:autoSpaceDE w:val="0"/>
        <w:autoSpaceDN/>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七、其他补充事宜</w:t>
      </w:r>
    </w:p>
    <w:p w14:paraId="042822DA">
      <w:pPr>
        <w:keepNext w:val="0"/>
        <w:keepLines w:val="0"/>
        <w:widowControl w:val="0"/>
        <w:suppressLineNumbers w:val="0"/>
        <w:spacing w:before="0" w:beforeAutospacing="0" w:after="0" w:afterAutospacing="0" w:line="360" w:lineRule="auto"/>
        <w:ind w:left="0" w:right="0" w:firstLine="437"/>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无</w:t>
      </w:r>
    </w:p>
    <w:p w14:paraId="3B7478AD">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八、对本次招标提出询问，请按以下方式联系</w:t>
      </w:r>
    </w:p>
    <w:p w14:paraId="1CF4F7E3">
      <w:pPr>
        <w:keepNext w:val="0"/>
        <w:keepLines w:val="0"/>
        <w:widowControl w:val="0"/>
        <w:suppressLineNumbers w:val="0"/>
        <w:spacing w:before="0" w:beforeAutospacing="0" w:after="0" w:afterAutospacing="0" w:line="360" w:lineRule="auto"/>
        <w:ind w:left="0" w:right="0" w:firstLine="437"/>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1.采购人信息</w:t>
      </w:r>
    </w:p>
    <w:p w14:paraId="075D532B">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名  称：</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滁州市机电工程学校</w:t>
      </w:r>
    </w:p>
    <w:p w14:paraId="71D33116">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宋体"/>
          <w:i w:val="0"/>
          <w:iCs w:val="0"/>
          <w:color w:val="auto"/>
          <w:spacing w:val="0"/>
          <w:kern w:val="2"/>
          <w:sz w:val="24"/>
          <w:szCs w:val="24"/>
          <w:highlight w:val="none"/>
          <w:u w:val="single"/>
          <w:shd w:val="clear" w:fill="FFFFFF"/>
        </w:rPr>
      </w:pPr>
      <w:r>
        <w:rPr>
          <w:rFonts w:hint="eastAsia" w:ascii="宋体" w:hAnsi="宋体" w:eastAsia="宋体" w:cs="宋体"/>
          <w:color w:val="auto"/>
          <w:kern w:val="2"/>
          <w:sz w:val="24"/>
          <w:szCs w:val="24"/>
          <w:highlight w:val="none"/>
          <w:lang w:val="en-US" w:eastAsia="zh-CN" w:bidi="ar"/>
        </w:rPr>
        <w:t>地</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址：</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安徽省滁州市丰乐大道2238号</w:t>
      </w:r>
    </w:p>
    <w:p w14:paraId="2A46FB9F">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联系人：</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李老师</w:t>
      </w:r>
    </w:p>
    <w:p w14:paraId="0FB7BEE8">
      <w:pPr>
        <w:keepNext w:val="0"/>
        <w:keepLines w:val="0"/>
        <w:widowControl w:val="0"/>
        <w:suppressLineNumbers w:val="0"/>
        <w:spacing w:before="0" w:beforeAutospacing="0" w:after="0" w:afterAutospacing="0" w:line="360" w:lineRule="auto"/>
        <w:ind w:left="0" w:right="0" w:firstLine="435"/>
        <w:jc w:val="both"/>
        <w:outlineLvl w:val="9"/>
        <w:rPr>
          <w:rFonts w:hint="default" w:ascii="宋体" w:hAnsi="宋体" w:eastAsia="宋体" w:cs="@仿宋_GB2312"/>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联系方式：</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15855014401</w:t>
      </w:r>
    </w:p>
    <w:p w14:paraId="2577FC13">
      <w:pPr>
        <w:keepNext w:val="0"/>
        <w:keepLines w:val="0"/>
        <w:widowControl w:val="0"/>
        <w:suppressLineNumbers w:val="0"/>
        <w:spacing w:before="0" w:beforeAutospacing="0" w:after="0" w:afterAutospacing="0" w:line="360" w:lineRule="auto"/>
        <w:ind w:left="0" w:right="0" w:firstLine="437"/>
        <w:jc w:val="both"/>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2.采购代理机构</w:t>
      </w:r>
      <w:r>
        <w:rPr>
          <w:rFonts w:hint="eastAsia" w:ascii="宋体" w:hAnsi="宋体" w:eastAsia="宋体" w:cs="宋体"/>
          <w:color w:val="auto"/>
          <w:kern w:val="2"/>
          <w:sz w:val="24"/>
          <w:szCs w:val="24"/>
          <w:highlight w:val="none"/>
          <w:lang w:val="en-US" w:eastAsia="zh-CN" w:bidi="ar"/>
        </w:rPr>
        <w:t>信息</w:t>
      </w:r>
    </w:p>
    <w:p w14:paraId="59AA4729">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宋体"/>
          <w:i w:val="0"/>
          <w:iCs w:val="0"/>
          <w:color w:val="auto"/>
          <w:spacing w:val="0"/>
          <w:kern w:val="2"/>
          <w:sz w:val="24"/>
          <w:szCs w:val="24"/>
          <w:highlight w:val="none"/>
          <w:u w:val="single"/>
          <w:shd w:val="clear" w:fill="FFFFFF"/>
        </w:rPr>
      </w:pPr>
      <w:r>
        <w:rPr>
          <w:rFonts w:hint="eastAsia" w:ascii="宋体" w:hAnsi="宋体" w:eastAsia="宋体" w:cs="宋体"/>
          <w:color w:val="auto"/>
          <w:kern w:val="2"/>
          <w:sz w:val="24"/>
          <w:szCs w:val="24"/>
          <w:highlight w:val="none"/>
          <w:lang w:val="en-US" w:eastAsia="zh-CN" w:bidi="ar"/>
        </w:rPr>
        <w:t>名  称：</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安徽百士德工程咨询有限公司</w:t>
      </w:r>
    </w:p>
    <w:p w14:paraId="55DB7997">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宋体"/>
          <w:i w:val="0"/>
          <w:iCs w:val="0"/>
          <w:color w:val="auto"/>
          <w:spacing w:val="0"/>
          <w:kern w:val="2"/>
          <w:sz w:val="24"/>
          <w:szCs w:val="24"/>
          <w:highlight w:val="none"/>
          <w:u w:val="single"/>
          <w:shd w:val="clear" w:fill="FFFFFF"/>
        </w:rPr>
      </w:pPr>
      <w:r>
        <w:rPr>
          <w:rFonts w:hint="eastAsia" w:ascii="宋体" w:hAnsi="宋体" w:eastAsia="宋体" w:cs="宋体"/>
          <w:color w:val="auto"/>
          <w:kern w:val="2"/>
          <w:sz w:val="24"/>
          <w:szCs w:val="24"/>
          <w:highlight w:val="none"/>
          <w:lang w:val="en-US" w:eastAsia="zh-CN" w:bidi="ar"/>
        </w:rPr>
        <w:t>地</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址：</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滁州市会峰西路72-11号</w:t>
      </w:r>
    </w:p>
    <w:p w14:paraId="6FDFD151">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宋体"/>
          <w:i w:val="0"/>
          <w:iCs w:val="0"/>
          <w:color w:val="auto"/>
          <w:spacing w:val="0"/>
          <w:kern w:val="2"/>
          <w:sz w:val="24"/>
          <w:szCs w:val="24"/>
          <w:highlight w:val="none"/>
          <w:u w:val="single"/>
          <w:shd w:val="clear" w:fill="FFFFFF"/>
        </w:rPr>
      </w:pPr>
      <w:r>
        <w:rPr>
          <w:rFonts w:hint="eastAsia" w:ascii="宋体" w:hAnsi="宋体" w:eastAsia="宋体" w:cs="宋体"/>
          <w:color w:val="auto"/>
          <w:kern w:val="2"/>
          <w:sz w:val="24"/>
          <w:szCs w:val="24"/>
          <w:highlight w:val="none"/>
          <w:lang w:val="en-US" w:eastAsia="zh-CN" w:bidi="ar"/>
        </w:rPr>
        <w:t>联系人：</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吕倩</w:t>
      </w:r>
    </w:p>
    <w:p w14:paraId="6525FD3F">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联系方式：</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15178499373</w:t>
      </w:r>
    </w:p>
    <w:p w14:paraId="14DFD697">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25750EF7">
      <w:pPr>
        <w:spacing w:line="360" w:lineRule="auto"/>
        <w:jc w:val="center"/>
        <w:outlineLvl w:val="0"/>
        <w:rPr>
          <w:rFonts w:asciiTheme="minorEastAsia" w:hAnsiTheme="minorEastAsia" w:eastAsiaTheme="minorEastAsia"/>
          <w:b/>
          <w:color w:val="auto"/>
          <w:sz w:val="28"/>
          <w:highlight w:val="none"/>
        </w:rPr>
      </w:pPr>
      <w:bookmarkStart w:id="1" w:name="_Toc22763"/>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1"/>
    </w:p>
    <w:p w14:paraId="1D0E99F5">
      <w:pPr>
        <w:spacing w:line="360" w:lineRule="auto"/>
        <w:jc w:val="center"/>
        <w:outlineLvl w:val="9"/>
        <w:rPr>
          <w:rFonts w:asciiTheme="minorEastAsia" w:hAnsiTheme="minorEastAsia" w:eastAsiaTheme="minorEastAsia"/>
          <w:b/>
          <w:color w:val="auto"/>
          <w:sz w:val="24"/>
          <w:highlight w:val="none"/>
        </w:rPr>
      </w:pPr>
      <w:bookmarkStart w:id="2" w:name="_Toc3114"/>
      <w:bookmarkStart w:id="3" w:name="_Toc7178"/>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2"/>
      <w:bookmarkEnd w:id="3"/>
    </w:p>
    <w:p w14:paraId="0978B160">
      <w:pPr>
        <w:spacing w:line="360" w:lineRule="auto"/>
        <w:ind w:firstLine="435"/>
        <w:outlineLvl w:val="9"/>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4"/>
        <w:tblW w:w="5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718"/>
        <w:gridCol w:w="6695"/>
      </w:tblGrid>
      <w:tr w14:paraId="2F64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5865F332">
            <w:pPr>
              <w:pStyle w:val="33"/>
              <w:widowControl w:val="0"/>
              <w:spacing w:before="0" w:beforeAutospacing="0" w:after="0" w:afterAutospacing="0"/>
              <w:outlineLvl w:val="9"/>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907" w:type="pct"/>
            <w:vAlign w:val="center"/>
          </w:tcPr>
          <w:p w14:paraId="7620405C">
            <w:pPr>
              <w:pStyle w:val="33"/>
              <w:widowControl w:val="0"/>
              <w:spacing w:before="0" w:beforeAutospacing="0" w:after="0" w:afterAutospacing="0"/>
              <w:outlineLvl w:val="9"/>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535" w:type="pct"/>
            <w:vAlign w:val="center"/>
          </w:tcPr>
          <w:p w14:paraId="7AB68C35">
            <w:pPr>
              <w:pStyle w:val="33"/>
              <w:widowControl w:val="0"/>
              <w:spacing w:before="0" w:beforeAutospacing="0" w:after="0" w:afterAutospacing="0"/>
              <w:outlineLvl w:val="9"/>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1D74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4BFB0364">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hint="default"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907" w:type="pct"/>
            <w:vAlign w:val="center"/>
          </w:tcPr>
          <w:p w14:paraId="33E1A29F">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outlineLvl w:val="9"/>
              <w:rPr>
                <w:rFonts w:hint="eastAsia" w:ascii="宋体" w:hAnsi="宋体" w:eastAsia="宋体"/>
                <w:b w:val="0"/>
                <w:color w:val="auto"/>
                <w:sz w:val="24"/>
                <w:highlight w:val="none"/>
                <w:lang w:eastAsia="zh-CN"/>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3535" w:type="pct"/>
            <w:vAlign w:val="center"/>
          </w:tcPr>
          <w:p w14:paraId="1D8D44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 w:val="0"/>
                <w:color w:val="auto"/>
                <w:sz w:val="24"/>
                <w:highlight w:val="none"/>
              </w:rPr>
            </w:pPr>
            <w:r>
              <w:rPr>
                <w:rFonts w:hint="eastAsia" w:ascii="宋体" w:hAnsi="宋体" w:eastAsia="宋体"/>
                <w:color w:val="auto"/>
                <w:sz w:val="24"/>
                <w:szCs w:val="20"/>
                <w:highlight w:val="none"/>
              </w:rPr>
              <w:t>不组织</w:t>
            </w:r>
            <w:r>
              <w:rPr>
                <w:rFonts w:hint="eastAsia" w:ascii="宋体" w:hAnsi="宋体" w:eastAsia="宋体"/>
                <w:color w:val="auto"/>
                <w:sz w:val="24"/>
                <w:szCs w:val="20"/>
                <w:highlight w:val="none"/>
                <w:lang w:val="en-US" w:eastAsia="zh-CN"/>
              </w:rPr>
              <w:t>或不召开</w:t>
            </w:r>
          </w:p>
        </w:tc>
      </w:tr>
      <w:tr w14:paraId="6952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7F60A2FB">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6</w:t>
            </w:r>
            <w:r>
              <w:rPr>
                <w:rFonts w:hint="default" w:ascii="宋体" w:hAnsi="宋体" w:eastAsia="宋体"/>
                <w:bCs/>
                <w:color w:val="auto"/>
                <w:kern w:val="2"/>
                <w:highlight w:val="none"/>
              </w:rPr>
              <w:t>.1</w:t>
            </w:r>
          </w:p>
        </w:tc>
        <w:tc>
          <w:tcPr>
            <w:tcW w:w="907" w:type="pct"/>
            <w:vAlign w:val="center"/>
          </w:tcPr>
          <w:p w14:paraId="590F3B1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outlineLvl w:val="9"/>
              <w:rPr>
                <w:rFonts w:hint="eastAsia" w:ascii="宋体" w:hAnsi="宋体" w:eastAsia="宋体"/>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投标人提出疑问的截止时间及方式</w:t>
            </w:r>
          </w:p>
        </w:tc>
        <w:tc>
          <w:tcPr>
            <w:tcW w:w="3535" w:type="pct"/>
            <w:vAlign w:val="center"/>
          </w:tcPr>
          <w:p w14:paraId="28B500AD">
            <w:pPr>
              <w:pStyle w:val="33"/>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bCs w:val="0"/>
                <w:color w:val="auto"/>
                <w:sz w:val="24"/>
                <w:highlight w:val="none"/>
                <w:lang w:eastAsia="zh-CN"/>
              </w:rPr>
            </w:pPr>
            <w:r>
              <w:rPr>
                <w:rFonts w:hint="eastAsia" w:ascii="宋体" w:hAnsi="宋体" w:eastAsia="宋体" w:cs="@仿宋_GB2312"/>
                <w:b w:val="0"/>
                <w:bCs w:val="0"/>
                <w:color w:val="auto"/>
                <w:kern w:val="2"/>
                <w:sz w:val="24"/>
                <w:szCs w:val="20"/>
                <w:highlight w:val="none"/>
                <w:lang w:val="en-US" w:eastAsia="zh-CN" w:bidi="ar-SA"/>
              </w:rPr>
              <w:t>如投标人对招标文件有疑问，请于2025年7月28日15时前，投标人将所遇到的问题以电子邮件形式传至1225240102@qq.com（邮箱）；</w:t>
            </w:r>
          </w:p>
        </w:tc>
      </w:tr>
      <w:tr w14:paraId="1F38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077A4627">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6.2</w:t>
            </w:r>
          </w:p>
        </w:tc>
        <w:tc>
          <w:tcPr>
            <w:tcW w:w="907" w:type="pct"/>
            <w:vAlign w:val="center"/>
          </w:tcPr>
          <w:p w14:paraId="3A8F5B75">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cs="@仿宋_GB2312"/>
                <w:b w:val="0"/>
                <w:bCs w:val="0"/>
                <w:color w:val="auto"/>
                <w:kern w:val="2"/>
                <w:sz w:val="24"/>
                <w:szCs w:val="20"/>
                <w:highlight w:val="none"/>
                <w:lang w:val="en-US" w:eastAsia="zh-CN" w:bidi="ar-SA"/>
              </w:rPr>
              <w:t>采购人澄清的时间及方式</w:t>
            </w:r>
          </w:p>
        </w:tc>
        <w:tc>
          <w:tcPr>
            <w:tcW w:w="3535" w:type="pct"/>
            <w:vAlign w:val="center"/>
          </w:tcPr>
          <w:p w14:paraId="2D66221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cs="@仿宋_GB2312"/>
                <w:b w:val="0"/>
                <w:bCs w:val="0"/>
                <w:color w:val="auto"/>
                <w:kern w:val="2"/>
                <w:sz w:val="24"/>
                <w:szCs w:val="20"/>
                <w:highlight w:val="none"/>
                <w:lang w:val="en-US" w:eastAsia="zh-CN" w:bidi="ar-SA"/>
              </w:rPr>
              <w:t>答疑、澄清内容于2025年7月29日15 时前以更正公告形式在滁州市机电工程学校官网以发布更正公告的方式予以公告</w:t>
            </w:r>
            <w:r>
              <w:rPr>
                <w:rFonts w:hint="eastAsia" w:ascii="宋体" w:hAnsi="宋体" w:eastAsia="宋体" w:cs="@仿宋_GB2312"/>
                <w:b w:val="0"/>
                <w:bCs w:val="0"/>
                <w:color w:val="auto"/>
                <w:kern w:val="2"/>
                <w:sz w:val="24"/>
                <w:szCs w:val="20"/>
                <w:highlight w:val="none"/>
                <w:lang w:val="zh-CN" w:eastAsia="zh-CN" w:bidi="ar-SA"/>
              </w:rPr>
              <w:t>。</w:t>
            </w:r>
            <w:r>
              <w:rPr>
                <w:rFonts w:hint="eastAsia" w:ascii="宋体" w:hAnsi="宋体" w:eastAsia="宋体" w:cs="@仿宋_GB2312"/>
                <w:b w:val="0"/>
                <w:bCs w:val="0"/>
                <w:color w:val="auto"/>
                <w:kern w:val="2"/>
                <w:sz w:val="24"/>
                <w:szCs w:val="20"/>
                <w:highlight w:val="none"/>
                <w:lang w:val="en-US" w:eastAsia="zh-CN" w:bidi="ar-SA"/>
              </w:rPr>
              <w:t>请各位投标人注意查看有关澄清内容，如不及时查看造成后果由投标人自负。</w:t>
            </w:r>
          </w:p>
        </w:tc>
      </w:tr>
      <w:tr w14:paraId="2E80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0863B9A0">
            <w:pPr>
              <w:pStyle w:val="34"/>
              <w:pBdr>
                <w:bottom w:val="none" w:color="auto" w:sz="0" w:space="0"/>
              </w:pBdr>
              <w:tabs>
                <w:tab w:val="clear" w:pos="4153"/>
                <w:tab w:val="clear" w:pos="8306"/>
              </w:tabs>
              <w:adjustRightInd/>
              <w:spacing w:line="240" w:lineRule="auto"/>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907" w:type="pct"/>
            <w:vAlign w:val="center"/>
          </w:tcPr>
          <w:p w14:paraId="35FCECA2">
            <w:pPr>
              <w:pStyle w:val="33"/>
              <w:widowControl w:val="0"/>
              <w:spacing w:before="0" w:beforeAutospacing="0" w:after="0" w:afterAutospacing="0"/>
              <w:jc w:val="left"/>
              <w:outlineLvl w:val="9"/>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535" w:type="pct"/>
            <w:vAlign w:val="center"/>
          </w:tcPr>
          <w:p w14:paraId="3AF073E8">
            <w:pPr>
              <w:pStyle w:val="33"/>
              <w:widowControl w:val="0"/>
              <w:spacing w:before="0" w:beforeAutospacing="0" w:after="0" w:afterAutospacing="0"/>
              <w:jc w:val="both"/>
              <w:outlineLvl w:val="9"/>
              <w:rPr>
                <w:rFonts w:ascii="宋体" w:hAnsi="宋体" w:eastAsia="宋体"/>
                <w:b w:val="0"/>
                <w:color w:val="auto"/>
                <w:sz w:val="24"/>
                <w:highlight w:val="none"/>
                <w:u w:val="single"/>
              </w:rPr>
            </w:pPr>
            <w:r>
              <w:rPr>
                <w:rFonts w:ascii="宋体" w:hAnsi="宋体" w:eastAsia="宋体"/>
                <w:b w:val="0"/>
                <w:color w:val="auto"/>
                <w:sz w:val="24"/>
                <w:highlight w:val="none"/>
              </w:rPr>
              <w:t xml:space="preserve">不分包    </w:t>
            </w:r>
          </w:p>
        </w:tc>
      </w:tr>
      <w:tr w14:paraId="474E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57" w:type="pct"/>
            <w:vAlign w:val="center"/>
          </w:tcPr>
          <w:p w14:paraId="294648E7">
            <w:pPr>
              <w:pStyle w:val="34"/>
              <w:pBdr>
                <w:bottom w:val="none" w:color="auto" w:sz="0" w:space="0"/>
              </w:pBdr>
              <w:tabs>
                <w:tab w:val="clear" w:pos="4153"/>
                <w:tab w:val="clear" w:pos="8306"/>
              </w:tabs>
              <w:adjustRightInd/>
              <w:spacing w:line="240" w:lineRule="auto"/>
              <w:outlineLvl w:val="9"/>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907" w:type="pct"/>
            <w:vAlign w:val="center"/>
          </w:tcPr>
          <w:p w14:paraId="51EF6315">
            <w:pPr>
              <w:pStyle w:val="33"/>
              <w:widowControl w:val="0"/>
              <w:spacing w:before="0" w:beforeAutospacing="0" w:after="0" w:afterAutospacing="0" w:line="360" w:lineRule="auto"/>
              <w:jc w:val="left"/>
              <w:outlineLvl w:val="9"/>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535" w:type="pct"/>
            <w:vAlign w:val="center"/>
          </w:tcPr>
          <w:p w14:paraId="6323093D">
            <w:pPr>
              <w:spacing w:line="360" w:lineRule="auto"/>
              <w:outlineLvl w:val="9"/>
              <w:rPr>
                <w:color w:val="auto"/>
                <w:highlight w:val="none"/>
              </w:rPr>
            </w:pPr>
            <w:r>
              <w:rPr>
                <w:rFonts w:hint="eastAsia" w:ascii="宋体" w:hAnsi="宋体" w:eastAsia="宋体"/>
                <w:bCs/>
                <w:color w:val="auto"/>
                <w:kern w:val="0"/>
                <w:sz w:val="24"/>
                <w:szCs w:val="28"/>
                <w:highlight w:val="none"/>
              </w:rPr>
              <w:t>不收取</w:t>
            </w:r>
          </w:p>
        </w:tc>
      </w:tr>
      <w:tr w14:paraId="01DF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66CAF54D">
            <w:pPr>
              <w:pStyle w:val="34"/>
              <w:pBdr>
                <w:bottom w:val="none" w:color="auto" w:sz="0" w:space="0"/>
              </w:pBdr>
              <w:tabs>
                <w:tab w:val="clear" w:pos="4153"/>
                <w:tab w:val="clear" w:pos="8306"/>
              </w:tabs>
              <w:adjustRightInd/>
              <w:spacing w:line="240" w:lineRule="auto"/>
              <w:outlineLvl w:val="9"/>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907" w:type="pct"/>
            <w:vAlign w:val="center"/>
          </w:tcPr>
          <w:p w14:paraId="35213FC2">
            <w:pPr>
              <w:pStyle w:val="33"/>
              <w:widowControl w:val="0"/>
              <w:spacing w:before="0" w:beforeAutospacing="0" w:after="0" w:afterAutospacing="0" w:line="360" w:lineRule="auto"/>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535" w:type="pct"/>
            <w:vAlign w:val="center"/>
          </w:tcPr>
          <w:p w14:paraId="6C085DB7">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90</w:t>
            </w:r>
            <w:r>
              <w:rPr>
                <w:rFonts w:hint="eastAsia" w:ascii="宋体" w:hAnsi="宋体" w:eastAsia="宋体"/>
                <w:b w:val="0"/>
                <w:color w:val="auto"/>
                <w:sz w:val="24"/>
                <w:highlight w:val="none"/>
              </w:rPr>
              <w:t>日历日</w:t>
            </w:r>
          </w:p>
        </w:tc>
      </w:tr>
      <w:tr w14:paraId="1B1F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068ACD7A">
            <w:pPr>
              <w:pStyle w:val="34"/>
              <w:pBdr>
                <w:bottom w:val="none" w:color="auto" w:sz="0" w:space="0"/>
              </w:pBdr>
              <w:tabs>
                <w:tab w:val="clear" w:pos="4153"/>
                <w:tab w:val="clear" w:pos="8306"/>
              </w:tabs>
              <w:adjustRightInd/>
              <w:spacing w:line="240" w:lineRule="auto"/>
              <w:outlineLvl w:val="9"/>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12</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907" w:type="pct"/>
            <w:vAlign w:val="center"/>
          </w:tcPr>
          <w:p w14:paraId="25DF3470">
            <w:pPr>
              <w:pStyle w:val="33"/>
              <w:widowControl w:val="0"/>
              <w:spacing w:before="0" w:beforeAutospacing="0" w:after="0" w:afterAutospacing="0" w:line="360" w:lineRule="auto"/>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投标文件份数</w:t>
            </w:r>
          </w:p>
        </w:tc>
        <w:tc>
          <w:tcPr>
            <w:tcW w:w="3535" w:type="pct"/>
            <w:vAlign w:val="center"/>
          </w:tcPr>
          <w:p w14:paraId="3EC564CF">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outlineLvl w:val="9"/>
              <w:rPr>
                <w:rFonts w:hint="default" w:ascii="宋体" w:hAnsi="宋体" w:eastAsia="宋体"/>
                <w:b w:val="0"/>
                <w:color w:val="auto"/>
                <w:sz w:val="24"/>
                <w:highlight w:val="none"/>
                <w:u w:val="single"/>
                <w:lang w:val="en-US" w:eastAsia="zh-CN"/>
              </w:rPr>
            </w:pPr>
            <w:r>
              <w:rPr>
                <w:rFonts w:hint="eastAsia" w:cs="@仿宋_GB2312" w:asciiTheme="minorEastAsia" w:hAnsiTheme="minorEastAsia" w:eastAsiaTheme="minorEastAsia"/>
                <w:b/>
                <w:bCs w:val="0"/>
                <w:color w:val="auto"/>
                <w:kern w:val="2"/>
                <w:sz w:val="24"/>
                <w:szCs w:val="24"/>
                <w:highlight w:val="none"/>
                <w:lang w:val="en-US" w:eastAsia="zh-CN" w:bidi="ar-SA"/>
              </w:rPr>
              <w:t>资信证明文件正本1份，副本2份；技术标文件正本1份，副本2份；商务标文件正本1份，副本2份。</w:t>
            </w:r>
          </w:p>
        </w:tc>
      </w:tr>
      <w:tr w14:paraId="36AB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7063842D">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ascii="宋体" w:hAnsi="宋体" w:eastAsia="宋体"/>
                <w:bCs/>
                <w:color w:val="auto"/>
                <w:kern w:val="2"/>
                <w:highlight w:val="none"/>
              </w:rPr>
            </w:pPr>
            <w:r>
              <w:rPr>
                <w:rFonts w:hint="eastAsia" w:ascii="宋体" w:hAnsi="宋体" w:eastAsia="宋体"/>
                <w:bCs/>
                <w:color w:val="auto"/>
                <w:kern w:val="2"/>
                <w:highlight w:val="none"/>
                <w:lang w:val="en-US" w:eastAsia="zh-CN"/>
              </w:rPr>
              <w:t>12.2</w:t>
            </w:r>
          </w:p>
        </w:tc>
        <w:tc>
          <w:tcPr>
            <w:tcW w:w="907" w:type="pct"/>
            <w:vAlign w:val="center"/>
          </w:tcPr>
          <w:p w14:paraId="32A80F67">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outlineLvl w:val="9"/>
              <w:rPr>
                <w:rFonts w:hint="eastAsia" w:ascii="宋体" w:hAnsi="宋体" w:eastAsia="宋体"/>
                <w:b w:val="0"/>
                <w:color w:val="auto"/>
                <w:sz w:val="24"/>
                <w:highlight w:val="none"/>
                <w:lang w:val="en-US" w:eastAsia="zh-CN"/>
              </w:rPr>
            </w:pPr>
            <w:r>
              <w:rPr>
                <w:rFonts w:hint="eastAsia" w:cs="@仿宋_GB2312" w:asciiTheme="minorEastAsia" w:hAnsiTheme="minorEastAsia" w:eastAsiaTheme="minorEastAsia"/>
                <w:b w:val="0"/>
                <w:bCs/>
                <w:color w:val="auto"/>
                <w:kern w:val="2"/>
                <w:sz w:val="24"/>
                <w:szCs w:val="24"/>
                <w:highlight w:val="none"/>
                <w:lang w:val="en-US" w:eastAsia="zh-CN" w:bidi="ar-SA"/>
              </w:rPr>
              <w:t>具体密封要求</w:t>
            </w:r>
          </w:p>
        </w:tc>
        <w:tc>
          <w:tcPr>
            <w:tcW w:w="3535" w:type="pct"/>
            <w:vAlign w:val="center"/>
          </w:tcPr>
          <w:p w14:paraId="2CB73423">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outlineLvl w:val="9"/>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投标文件的正本和副本应采用胶装（或订书机装订）方式左侧装订，不得采用活页夹的可随时拆换的方式装订，不得有零散页。投标文件应按照“投标文件格式”的目录次序分别装订，并按资信证明文件、技术标、商务标分别密封。资信证明文件正副本密封于资信证明文件袋内，技术标正副本密封于技标文件袋内，商务标正副本密封于商务文件袋内，否则其投标文件将被拒收。</w:t>
            </w:r>
          </w:p>
        </w:tc>
      </w:tr>
      <w:tr w14:paraId="7D79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1A44F642">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ascii="宋体" w:hAnsi="宋体" w:eastAsia="宋体"/>
                <w:bCs/>
                <w:color w:val="auto"/>
                <w:kern w:val="2"/>
                <w:highlight w:val="none"/>
              </w:rPr>
            </w:pPr>
            <w:r>
              <w:rPr>
                <w:rFonts w:hint="eastAsia" w:ascii="宋体" w:hAnsi="宋体" w:eastAsia="宋体"/>
                <w:bCs/>
                <w:color w:val="auto"/>
                <w:kern w:val="2"/>
                <w:highlight w:val="none"/>
                <w:lang w:val="en-US" w:eastAsia="zh-CN"/>
              </w:rPr>
              <w:t>12.3</w:t>
            </w:r>
          </w:p>
        </w:tc>
        <w:tc>
          <w:tcPr>
            <w:tcW w:w="907" w:type="pct"/>
            <w:vAlign w:val="center"/>
          </w:tcPr>
          <w:p w14:paraId="00ED87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outlineLvl w:val="9"/>
              <w:rPr>
                <w:rFonts w:hint="eastAsia" w:ascii="宋体" w:hAnsi="宋体" w:eastAsia="宋体"/>
                <w:b w:val="0"/>
                <w:color w:val="auto"/>
                <w:sz w:val="24"/>
                <w:highlight w:val="none"/>
                <w:lang w:val="en-US" w:eastAsia="zh-CN"/>
              </w:rPr>
            </w:pPr>
            <w:r>
              <w:rPr>
                <w:rFonts w:hint="eastAsia" w:ascii="宋体" w:hAnsi="宋体" w:eastAsia="宋体" w:cs="宋体"/>
                <w:color w:val="auto"/>
                <w:sz w:val="24"/>
                <w:szCs w:val="24"/>
                <w:highlight w:val="none"/>
              </w:rPr>
              <w:t>投标文件封套上应载明的信息</w:t>
            </w:r>
          </w:p>
        </w:tc>
        <w:tc>
          <w:tcPr>
            <w:tcW w:w="3535" w:type="pct"/>
            <w:vAlign w:val="center"/>
          </w:tcPr>
          <w:p w14:paraId="39676C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（标注资信、技术、商务）</w:t>
            </w:r>
          </w:p>
          <w:p w14:paraId="1108F7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投标人地址：</w:t>
            </w:r>
            <w:r>
              <w:rPr>
                <w:rFonts w:hint="eastAsia" w:ascii="宋体" w:hAnsi="宋体" w:eastAsia="宋体" w:cs="宋体"/>
                <w:color w:val="auto"/>
                <w:sz w:val="24"/>
                <w:szCs w:val="24"/>
                <w:highlight w:val="none"/>
                <w:u w:val="single"/>
              </w:rPr>
              <w:t xml:space="preserve">                    </w:t>
            </w:r>
          </w:p>
          <w:p w14:paraId="42C95C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p>
          <w:p w14:paraId="7DAEAF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在</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年  月  日  时 分（开标时间）前不得开启</w:t>
            </w:r>
          </w:p>
        </w:tc>
      </w:tr>
      <w:tr w14:paraId="0759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5BD6B4DA">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907" w:type="pct"/>
            <w:vAlign w:val="center"/>
          </w:tcPr>
          <w:p w14:paraId="72292FA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535" w:type="pct"/>
            <w:vAlign w:val="center"/>
          </w:tcPr>
          <w:p w14:paraId="29592FD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u w:val="single"/>
              </w:rPr>
            </w:pPr>
            <w:r>
              <w:rPr>
                <w:rFonts w:hint="eastAsia" w:ascii="宋体" w:hAnsi="宋体" w:eastAsia="宋体"/>
                <w:b w:val="0"/>
                <w:bCs w:val="0"/>
                <w:color w:val="auto"/>
                <w:sz w:val="24"/>
                <w:highlight w:val="none"/>
              </w:rPr>
              <w:t>采购人审查</w:t>
            </w:r>
          </w:p>
        </w:tc>
      </w:tr>
      <w:tr w14:paraId="508B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0B2B128E">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hint="default" w:ascii="宋体" w:hAnsi="宋体" w:eastAsia="宋体"/>
                <w:bCs/>
                <w:color w:val="auto"/>
                <w:kern w:val="2"/>
                <w:highlight w:val="none"/>
              </w:rPr>
              <w:t>.2</w:t>
            </w:r>
          </w:p>
        </w:tc>
        <w:tc>
          <w:tcPr>
            <w:tcW w:w="907" w:type="pct"/>
            <w:vAlign w:val="center"/>
          </w:tcPr>
          <w:p w14:paraId="5BBDAB0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535" w:type="pct"/>
            <w:vAlign w:val="center"/>
          </w:tcPr>
          <w:p w14:paraId="708C446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u w:val="none"/>
              </w:rPr>
              <w:t>综合评分法</w:t>
            </w:r>
          </w:p>
        </w:tc>
      </w:tr>
      <w:tr w14:paraId="312D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5AC4A26F">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907" w:type="pct"/>
            <w:vAlign w:val="center"/>
          </w:tcPr>
          <w:p w14:paraId="0C7AFC0B">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hint="default"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hint="default" w:ascii="宋体" w:hAnsi="宋体" w:eastAsia="宋体"/>
                <w:b w:val="0"/>
                <w:color w:val="auto"/>
                <w:sz w:val="24"/>
                <w:highlight w:val="none"/>
              </w:rPr>
              <w:t>数量</w:t>
            </w:r>
          </w:p>
        </w:tc>
        <w:tc>
          <w:tcPr>
            <w:tcW w:w="3535" w:type="pct"/>
            <w:vAlign w:val="center"/>
          </w:tcPr>
          <w:p w14:paraId="11801A38">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 w:val="0"/>
                <w:color w:val="auto"/>
                <w:sz w:val="24"/>
                <w:highlight w:val="none"/>
                <w:u w:val="single"/>
              </w:rPr>
            </w:pPr>
            <w:r>
              <w:rPr>
                <w:rFonts w:hint="eastAsia" w:ascii="宋体" w:hAnsi="宋体" w:eastAsia="宋体" w:cs="宋体"/>
                <w:b w:val="0"/>
                <w:bCs w:val="0"/>
                <w:color w:val="auto"/>
                <w:sz w:val="24"/>
                <w:szCs w:val="24"/>
                <w:highlight w:val="none"/>
                <w:lang w:val="en-US" w:eastAsia="zh-CN"/>
              </w:rPr>
              <w:t>评标委员会推荐3名中标候选人</w:t>
            </w:r>
          </w:p>
        </w:tc>
      </w:tr>
      <w:tr w14:paraId="7C4A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2A091FDE">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907" w:type="pct"/>
            <w:vAlign w:val="center"/>
          </w:tcPr>
          <w:p w14:paraId="307676B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535" w:type="pct"/>
            <w:vAlign w:val="center"/>
          </w:tcPr>
          <w:p w14:paraId="1164323F">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 w:val="0"/>
                <w:color w:val="auto"/>
                <w:sz w:val="24"/>
                <w:highlight w:val="none"/>
              </w:rPr>
            </w:pPr>
            <w:r>
              <w:rPr>
                <w:rFonts w:hint="eastAsia" w:ascii="宋体" w:hAnsi="宋体" w:eastAsia="宋体" w:cs="宋体"/>
                <w:b w:val="0"/>
                <w:bCs w:val="0"/>
                <w:color w:val="auto"/>
                <w:sz w:val="24"/>
                <w:szCs w:val="24"/>
                <w:highlight w:val="none"/>
                <w:lang w:val="en-US" w:eastAsia="zh-CN"/>
              </w:rPr>
              <w:t>采购人委托评标委员会确定</w:t>
            </w:r>
          </w:p>
        </w:tc>
      </w:tr>
      <w:tr w14:paraId="2E3D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1CDADC2E">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default"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hint="default" w:ascii="宋体" w:hAnsi="宋体" w:eastAsia="宋体"/>
                <w:bCs/>
                <w:color w:val="auto"/>
                <w:kern w:val="2"/>
                <w:highlight w:val="none"/>
              </w:rPr>
              <w:t>.3</w:t>
            </w:r>
          </w:p>
        </w:tc>
        <w:tc>
          <w:tcPr>
            <w:tcW w:w="907" w:type="pct"/>
            <w:vAlign w:val="center"/>
          </w:tcPr>
          <w:p w14:paraId="06A26B7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535" w:type="pct"/>
            <w:vAlign w:val="center"/>
          </w:tcPr>
          <w:p w14:paraId="349053D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投标人自行在滁州市机电工程学校官网查看</w:t>
            </w:r>
          </w:p>
        </w:tc>
      </w:tr>
      <w:tr w14:paraId="0287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2E5128FF">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hint="default" w:ascii="宋体" w:hAnsi="宋体" w:eastAsia="宋体"/>
                <w:bCs/>
                <w:color w:val="auto"/>
                <w:kern w:val="2"/>
                <w:highlight w:val="none"/>
              </w:rPr>
              <w:t>.1</w:t>
            </w:r>
          </w:p>
        </w:tc>
        <w:tc>
          <w:tcPr>
            <w:tcW w:w="907" w:type="pct"/>
            <w:vAlign w:val="center"/>
          </w:tcPr>
          <w:p w14:paraId="7C3B475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535" w:type="pct"/>
            <w:vAlign w:val="center"/>
          </w:tcPr>
          <w:p w14:paraId="00A0F8E4">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书面 </w:t>
            </w:r>
            <w:r>
              <w:rPr>
                <w:rFonts w:hint="default" w:ascii="宋体" w:hAnsi="宋体" w:eastAsia="宋体" w:cs="宋体"/>
                <w:b w:val="0"/>
                <w:bCs w:val="0"/>
                <w:color w:val="auto"/>
                <w:sz w:val="24"/>
                <w:szCs w:val="24"/>
                <w:highlight w:val="none"/>
                <w:lang w:val="en-US" w:eastAsia="zh-CN"/>
              </w:rPr>
              <w:t xml:space="preserve">    </w:t>
            </w:r>
          </w:p>
        </w:tc>
      </w:tr>
      <w:tr w14:paraId="19EE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377E5777">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hint="default" w:ascii="宋体" w:hAnsi="宋体" w:eastAsia="宋体"/>
                <w:bCs/>
                <w:color w:val="auto"/>
                <w:kern w:val="2"/>
                <w:highlight w:val="none"/>
              </w:rPr>
              <w:t>.1</w:t>
            </w:r>
          </w:p>
        </w:tc>
        <w:tc>
          <w:tcPr>
            <w:tcW w:w="907" w:type="pct"/>
            <w:vAlign w:val="center"/>
          </w:tcPr>
          <w:p w14:paraId="75174645">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535" w:type="pct"/>
            <w:vAlign w:val="center"/>
          </w:tcPr>
          <w:p w14:paraId="3E06C6A4">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default" w:asciiTheme="minorEastAsia" w:hAnsiTheme="minorEastAsia" w:eastAsiaTheme="minorEastAsia"/>
                <w:b w:val="0"/>
                <w:bCs w:val="0"/>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投标人自行在滁州市机电工程学校官网查看</w:t>
            </w:r>
          </w:p>
        </w:tc>
      </w:tr>
      <w:tr w14:paraId="3169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7" w:type="pct"/>
            <w:vAlign w:val="center"/>
          </w:tcPr>
          <w:p w14:paraId="2AB2D0C4">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hint="default" w:ascii="宋体" w:hAnsi="宋体" w:eastAsia="宋体"/>
                <w:bCs/>
                <w:color w:val="auto"/>
                <w:kern w:val="2"/>
                <w:highlight w:val="none"/>
              </w:rPr>
              <w:t>.1</w:t>
            </w:r>
          </w:p>
        </w:tc>
        <w:tc>
          <w:tcPr>
            <w:tcW w:w="907" w:type="pct"/>
            <w:vAlign w:val="center"/>
          </w:tcPr>
          <w:p w14:paraId="1B679114">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履约保证金</w:t>
            </w:r>
          </w:p>
        </w:tc>
        <w:tc>
          <w:tcPr>
            <w:tcW w:w="3535" w:type="pct"/>
            <w:vAlign w:val="center"/>
          </w:tcPr>
          <w:p w14:paraId="48B96AB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bCs/>
                <w:color w:val="auto"/>
                <w:kern w:val="0"/>
                <w:sz w:val="24"/>
                <w:szCs w:val="24"/>
                <w:highlight w:val="none"/>
              </w:rPr>
            </w:pPr>
            <w:r>
              <w:rPr>
                <w:rFonts w:hint="eastAsia" w:ascii="宋体" w:hAnsi="宋体" w:eastAsia="宋体"/>
                <w:b w:val="0"/>
                <w:color w:val="auto"/>
                <w:sz w:val="24"/>
                <w:highlight w:val="none"/>
                <w:lang w:val="en-US" w:eastAsia="zh-CN"/>
              </w:rPr>
              <w:t>免收</w:t>
            </w:r>
          </w:p>
        </w:tc>
      </w:tr>
      <w:tr w14:paraId="7BB6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57" w:type="pct"/>
            <w:vAlign w:val="center"/>
          </w:tcPr>
          <w:p w14:paraId="7CECA674">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hint="default" w:ascii="宋体" w:hAnsi="宋体" w:eastAsia="宋体"/>
                <w:bCs/>
                <w:color w:val="auto"/>
                <w:kern w:val="2"/>
                <w:highlight w:val="none"/>
              </w:rPr>
              <w:t>.1</w:t>
            </w:r>
          </w:p>
        </w:tc>
        <w:tc>
          <w:tcPr>
            <w:tcW w:w="907" w:type="pct"/>
            <w:vAlign w:val="center"/>
          </w:tcPr>
          <w:p w14:paraId="70B17635">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535" w:type="pct"/>
            <w:vAlign w:val="top"/>
          </w:tcPr>
          <w:p w14:paraId="22521B2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w:t>
            </w:r>
          </w:p>
          <w:p w14:paraId="1F4765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1E52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12E72408">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hint="default" w:ascii="宋体" w:hAnsi="宋体" w:eastAsia="宋体"/>
                <w:bCs/>
                <w:color w:val="auto"/>
                <w:kern w:val="2"/>
                <w:highlight w:val="none"/>
              </w:rPr>
              <w:t>.1</w:t>
            </w:r>
          </w:p>
        </w:tc>
        <w:tc>
          <w:tcPr>
            <w:tcW w:w="907" w:type="pct"/>
            <w:vAlign w:val="center"/>
          </w:tcPr>
          <w:p w14:paraId="543F1B3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代理费及专家评审费</w:t>
            </w:r>
          </w:p>
        </w:tc>
        <w:tc>
          <w:tcPr>
            <w:tcW w:w="3535" w:type="pct"/>
            <w:vAlign w:val="center"/>
          </w:tcPr>
          <w:p w14:paraId="503366CA">
            <w:pPr>
              <w:keepNext w:val="0"/>
              <w:keepLines w:val="0"/>
              <w:pageBreakBefore w:val="0"/>
              <w:widowControl w:val="0"/>
              <w:suppressLineNumbers w:val="0"/>
              <w:kinsoku/>
              <w:wordWrap/>
              <w:overflowPunct/>
              <w:topLinePunct w:val="0"/>
              <w:autoSpaceDE/>
              <w:autoSpaceDN/>
              <w:bidi w:val="0"/>
              <w:adjustRightInd/>
              <w:snapToGrid/>
              <w:spacing w:before="39" w:beforeAutospacing="0" w:after="0" w:afterAutospacing="0" w:line="360" w:lineRule="auto"/>
              <w:ind w:left="0" w:right="0"/>
              <w:outlineLvl w:val="9"/>
              <w:rPr>
                <w:rFonts w:hint="default" w:ascii="宋体" w:hAnsi="宋体" w:eastAsia="宋体" w:cs="宋体"/>
                <w:color w:val="auto"/>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hint="default" w:ascii="宋体" w:hAnsi="宋体" w:eastAsia="宋体" w:cs="宋体"/>
                <w:color w:val="auto"/>
                <w:spacing w:val="-12"/>
                <w:sz w:val="24"/>
                <w:szCs w:val="24"/>
                <w:highlight w:val="none"/>
              </w:rPr>
              <w:t>：</w:t>
            </w:r>
            <w:r>
              <w:rPr>
                <w:rFonts w:hint="default" w:ascii="宋体" w:hAnsi="宋体" w:eastAsia="宋体" w:cs="宋体"/>
                <w:color w:val="auto"/>
                <w:spacing w:val="14"/>
                <w:sz w:val="24"/>
                <w:szCs w:val="24"/>
                <w:highlight w:val="none"/>
              </w:rPr>
              <w:t>中标人</w:t>
            </w:r>
          </w:p>
          <w:p w14:paraId="320AE677">
            <w:pPr>
              <w:keepNext w:val="0"/>
              <w:keepLines w:val="0"/>
              <w:pageBreakBefore w:val="0"/>
              <w:widowControl w:val="0"/>
              <w:suppressLineNumbers w:val="0"/>
              <w:kinsoku/>
              <w:wordWrap/>
              <w:overflowPunct/>
              <w:topLinePunct w:val="0"/>
              <w:autoSpaceDE/>
              <w:autoSpaceDN/>
              <w:bidi w:val="0"/>
              <w:adjustRightInd/>
              <w:snapToGrid/>
              <w:spacing w:before="24" w:beforeAutospacing="0" w:after="0" w:afterAutospacing="0" w:line="360" w:lineRule="auto"/>
              <w:ind w:left="0" w:right="0"/>
              <w:outlineLvl w:val="9"/>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现金或转账</w:t>
            </w:r>
          </w:p>
          <w:p w14:paraId="6071FB76">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val="0"/>
                <w:color w:val="auto"/>
                <w:sz w:val="24"/>
                <w:szCs w:val="24"/>
                <w:highlight w:val="none"/>
                <w:u w:val="single" w:color="auto"/>
                <w:lang w:val="en-US" w:eastAsia="zh-CN"/>
              </w:rPr>
              <w:t>代理费3000元</w:t>
            </w:r>
            <w:r>
              <w:rPr>
                <w:rFonts w:hint="default" w:ascii="宋体" w:hAnsi="宋体" w:eastAsia="宋体" w:cs="宋体"/>
                <w:b w:val="0"/>
                <w:bCs w:val="0"/>
                <w:color w:val="auto"/>
                <w:kern w:val="2"/>
                <w:sz w:val="24"/>
                <w:szCs w:val="24"/>
                <w:highlight w:val="none"/>
                <w:u w:val="single"/>
                <w:lang w:val="en-US" w:eastAsia="zh-CN" w:bidi="ar-SA"/>
              </w:rPr>
              <w:t>（</w:t>
            </w:r>
            <w:r>
              <w:rPr>
                <w:rFonts w:hint="eastAsia" w:ascii="宋体" w:hAnsi="宋体" w:eastAsia="宋体" w:cs="宋体"/>
                <w:b w:val="0"/>
                <w:bCs w:val="0"/>
                <w:color w:val="auto"/>
                <w:kern w:val="2"/>
                <w:sz w:val="24"/>
                <w:szCs w:val="24"/>
                <w:highlight w:val="none"/>
                <w:u w:val="single"/>
                <w:lang w:val="en-US" w:eastAsia="zh-CN" w:bidi="ar-SA"/>
              </w:rPr>
              <w:t>不含专家评审费，</w:t>
            </w:r>
            <w:r>
              <w:rPr>
                <w:rFonts w:hint="default" w:ascii="宋体" w:hAnsi="宋体" w:eastAsia="宋体" w:cs="宋体"/>
                <w:b w:val="0"/>
                <w:bCs w:val="0"/>
                <w:color w:val="auto"/>
                <w:kern w:val="2"/>
                <w:sz w:val="24"/>
                <w:szCs w:val="24"/>
                <w:highlight w:val="none"/>
                <w:u w:val="single"/>
                <w:lang w:val="en-US" w:eastAsia="zh-CN" w:bidi="ar-SA"/>
              </w:rPr>
              <w:t>评审费另计，</w:t>
            </w:r>
            <w:r>
              <w:rPr>
                <w:rFonts w:hint="eastAsia" w:ascii="宋体" w:hAnsi="宋体" w:eastAsia="宋体" w:cs="宋体"/>
                <w:b w:val="0"/>
                <w:bCs w:val="0"/>
                <w:color w:val="auto"/>
                <w:kern w:val="2"/>
                <w:sz w:val="24"/>
                <w:szCs w:val="24"/>
                <w:highlight w:val="none"/>
                <w:u w:val="single"/>
                <w:lang w:val="en-US" w:eastAsia="zh-CN" w:bidi="ar-SA"/>
              </w:rPr>
              <w:t>其中</w:t>
            </w:r>
            <w:bookmarkStart w:id="86" w:name="_GoBack"/>
            <w:bookmarkEnd w:id="86"/>
            <w:r>
              <w:rPr>
                <w:rFonts w:hint="eastAsia" w:ascii="宋体" w:hAnsi="宋体" w:eastAsia="宋体" w:cs="宋体"/>
                <w:b w:val="0"/>
                <w:bCs w:val="0"/>
                <w:color w:val="auto"/>
                <w:kern w:val="2"/>
                <w:sz w:val="24"/>
                <w:szCs w:val="24"/>
                <w:highlight w:val="none"/>
                <w:u w:val="single"/>
                <w:lang w:val="en-US" w:eastAsia="zh-CN" w:bidi="ar-SA"/>
              </w:rPr>
              <w:t>一次评审费1240元，二次评审费</w:t>
            </w:r>
            <w:r>
              <w:rPr>
                <w:rFonts w:hint="default" w:ascii="宋体" w:hAnsi="宋体" w:eastAsia="宋体" w:cs="宋体"/>
                <w:b w:val="0"/>
                <w:bCs w:val="0"/>
                <w:color w:val="auto"/>
                <w:kern w:val="2"/>
                <w:sz w:val="24"/>
                <w:szCs w:val="24"/>
                <w:highlight w:val="none"/>
                <w:u w:val="single"/>
                <w:lang w:val="en-US" w:eastAsia="zh-CN" w:bidi="ar-SA"/>
              </w:rPr>
              <w:t>以实际发生为准）</w:t>
            </w:r>
            <w:r>
              <w:rPr>
                <w:rFonts w:hint="eastAsia" w:ascii="宋体" w:hAnsi="宋体" w:eastAsia="宋体" w:cs="宋体"/>
                <w:b w:val="0"/>
                <w:bCs w:val="0"/>
                <w:color w:val="auto"/>
                <w:kern w:val="2"/>
                <w:sz w:val="24"/>
                <w:szCs w:val="24"/>
                <w:highlight w:val="none"/>
                <w:u w:val="single"/>
                <w:lang w:val="en-US" w:eastAsia="zh-CN" w:bidi="ar-SA"/>
              </w:rPr>
              <w:t xml:space="preserve"> </w:t>
            </w:r>
          </w:p>
        </w:tc>
      </w:tr>
      <w:tr w14:paraId="41FC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03499EDD">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907" w:type="pct"/>
            <w:vAlign w:val="center"/>
          </w:tcPr>
          <w:p w14:paraId="637839A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535" w:type="pct"/>
            <w:vAlign w:val="center"/>
          </w:tcPr>
          <w:p w14:paraId="27079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仿宋_GB2312"/>
                <w:b w:val="0"/>
                <w:bCs/>
                <w:color w:val="auto"/>
                <w:kern w:val="2"/>
                <w:sz w:val="24"/>
                <w:szCs w:val="22"/>
                <w:highlight w:val="none"/>
                <w:lang w:val="en-US" w:eastAsia="zh-CN" w:bidi="ar-SA"/>
              </w:rPr>
            </w:pPr>
            <w:r>
              <w:rPr>
                <w:rFonts w:hint="eastAsia" w:ascii="宋体" w:hAnsi="宋体" w:eastAsia="宋体"/>
                <w:b w:val="0"/>
                <w:color w:val="auto"/>
                <w:sz w:val="24"/>
                <w:szCs w:val="20"/>
                <w:highlight w:val="none"/>
              </w:rPr>
              <w:t>递交方式：</w:t>
            </w:r>
            <w:r>
              <w:rPr>
                <w:rFonts w:hint="eastAsia" w:ascii="宋体" w:hAnsi="宋体" w:eastAsia="宋体" w:cs="@仿宋_GB2312"/>
                <w:b w:val="0"/>
                <w:bCs/>
                <w:color w:val="auto"/>
                <w:kern w:val="2"/>
                <w:sz w:val="24"/>
                <w:szCs w:val="22"/>
                <w:highlight w:val="none"/>
                <w:lang w:val="en-US" w:eastAsia="zh-CN" w:bidi="ar-SA"/>
              </w:rPr>
              <w:t>投标人通过书面形式提出，一份质疑函只能针对一个项目提出质疑，且针对同一采购程序环节的质疑应当一次性提出。</w:t>
            </w:r>
          </w:p>
          <w:p w14:paraId="7920868C">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outlineLvl w:val="9"/>
              <w:rPr>
                <w:rFonts w:hint="default"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滁州市机电工程学校或安徽百士德工程咨询有限公司</w:t>
            </w:r>
            <w:r>
              <w:rPr>
                <w:rFonts w:hint="default"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15855014401或15178499373</w:t>
            </w:r>
          </w:p>
          <w:p w14:paraId="0D4A3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szCs w:val="20"/>
                <w:highlight w:val="none"/>
              </w:rPr>
              <w:t>通讯地址：</w:t>
            </w:r>
            <w:r>
              <w:rPr>
                <w:rFonts w:hint="eastAsia" w:ascii="宋体" w:hAnsi="宋体" w:eastAsia="宋体"/>
                <w:b w:val="0"/>
                <w:color w:val="auto"/>
                <w:sz w:val="24"/>
                <w:szCs w:val="20"/>
                <w:highlight w:val="none"/>
                <w:u w:val="single"/>
                <w:lang w:val="en-US" w:eastAsia="zh-CN"/>
              </w:rPr>
              <w:t>安徽省滁州市丰乐大道2238号或</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滁州市会峰西路72-11号</w:t>
            </w:r>
          </w:p>
        </w:tc>
      </w:tr>
      <w:tr w14:paraId="25E9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64" w:type="pct"/>
            <w:gridSpan w:val="2"/>
            <w:vAlign w:val="center"/>
          </w:tcPr>
          <w:p w14:paraId="7072D252">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outlineLvl w:val="9"/>
              <w:rPr>
                <w:rFonts w:hint="eastAsia" w:ascii="宋体" w:hAnsi="宋体" w:eastAsia="宋体"/>
                <w:b w:val="0"/>
                <w:color w:val="auto"/>
                <w:sz w:val="24"/>
                <w:highlight w:val="none"/>
              </w:rPr>
            </w:pPr>
            <w:r>
              <w:rPr>
                <w:rFonts w:hint="eastAsia" w:cs="@仿宋_GB2312" w:asciiTheme="minorEastAsia" w:hAnsiTheme="minorEastAsia" w:eastAsiaTheme="minorEastAsia"/>
                <w:b w:val="0"/>
                <w:bCs/>
                <w:color w:val="auto"/>
                <w:kern w:val="2"/>
                <w:sz w:val="24"/>
                <w:szCs w:val="24"/>
                <w:highlight w:val="none"/>
                <w:lang w:val="en-US" w:eastAsia="zh-CN" w:bidi="ar-SA"/>
              </w:rPr>
              <w:t>签字或盖章要求</w:t>
            </w:r>
          </w:p>
        </w:tc>
        <w:tc>
          <w:tcPr>
            <w:tcW w:w="3535" w:type="pct"/>
            <w:vAlign w:val="center"/>
          </w:tcPr>
          <w:p w14:paraId="06B01FE4">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outlineLvl w:val="9"/>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投标文件须按格式文件要求签字或盖章,</w:t>
            </w:r>
          </w:p>
          <w:p w14:paraId="18FE9858">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outlineLvl w:val="9"/>
              <w:rPr>
                <w:rFonts w:hint="eastAsia" w:ascii="宋体" w:hAnsi="宋体" w:eastAsia="宋体"/>
                <w:b w:val="0"/>
                <w:color w:val="auto"/>
                <w:sz w:val="24"/>
                <w:szCs w:val="20"/>
                <w:highlight w:val="none"/>
              </w:rPr>
            </w:pPr>
            <w:r>
              <w:rPr>
                <w:rFonts w:hint="eastAsia" w:cs="@仿宋_GB2312" w:asciiTheme="minorEastAsia" w:hAnsiTheme="minorEastAsia" w:eastAsiaTheme="minorEastAsia"/>
                <w:b w:val="0"/>
                <w:bCs/>
                <w:color w:val="auto"/>
                <w:kern w:val="2"/>
                <w:sz w:val="24"/>
                <w:szCs w:val="24"/>
                <w:highlight w:val="none"/>
                <w:lang w:val="en-US" w:eastAsia="zh-CN" w:bidi="ar-SA"/>
              </w:rPr>
              <w:t>否则经评标委员会一致认定后, 按照无效投标处理。</w:t>
            </w:r>
          </w:p>
        </w:tc>
      </w:tr>
      <w:tr w14:paraId="5C87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64" w:type="pct"/>
            <w:gridSpan w:val="2"/>
            <w:vAlign w:val="center"/>
          </w:tcPr>
          <w:p w14:paraId="5CB4E6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outlineLvl w:val="9"/>
              <w:rPr>
                <w:rFonts w:hint="eastAsia" w:ascii="宋体" w:hAnsi="宋体" w:eastAsia="宋体"/>
                <w:b w:val="0"/>
                <w:color w:val="auto"/>
                <w:sz w:val="24"/>
                <w:highlight w:val="none"/>
              </w:rPr>
            </w:pPr>
            <w:r>
              <w:rPr>
                <w:rFonts w:hint="eastAsia" w:ascii="宋体" w:hAnsi="宋体" w:eastAsia="宋体" w:cs="宋体"/>
                <w:b/>
                <w:bCs/>
                <w:color w:val="auto"/>
                <w:sz w:val="24"/>
                <w:szCs w:val="24"/>
                <w:highlight w:val="none"/>
              </w:rPr>
              <w:t>付款方式</w:t>
            </w:r>
          </w:p>
        </w:tc>
        <w:tc>
          <w:tcPr>
            <w:tcW w:w="3535" w:type="pct"/>
            <w:vAlign w:val="center"/>
          </w:tcPr>
          <w:p w14:paraId="20815F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outlineLvl w:val="9"/>
              <w:rPr>
                <w:rFonts w:hint="eastAsia" w:ascii="宋体" w:hAnsi="宋体" w:eastAsia="宋体"/>
                <w:b w:val="0"/>
                <w:color w:val="auto"/>
                <w:sz w:val="24"/>
                <w:szCs w:val="20"/>
                <w:highlight w:val="none"/>
              </w:rPr>
            </w:pPr>
            <w:r>
              <w:rPr>
                <w:rFonts w:hint="eastAsia" w:cs="@仿宋_GB2312" w:asciiTheme="minorEastAsia" w:hAnsiTheme="minorEastAsia" w:eastAsiaTheme="minorEastAsia"/>
                <w:b/>
                <w:bCs/>
                <w:color w:val="auto"/>
                <w:kern w:val="2"/>
                <w:sz w:val="24"/>
                <w:szCs w:val="24"/>
                <w:highlight w:val="none"/>
                <w:lang w:val="en-US" w:eastAsia="zh-CN" w:bidi="ar-SA"/>
              </w:rPr>
              <w:t>合同、担保措施生效并具备实施条件后5个工作日内采人向中标人支付预付款，预付款为合同价款的40%【中标人须提交银行、保险公司、担保公司等金融机构出具的预付款保函（保函须使用见索即付型）或其他担保措施】；货物安装调试培训完毕验收合格并正常使用运行后7个工作日内付至合同价款的 100%。</w:t>
            </w:r>
          </w:p>
        </w:tc>
      </w:tr>
      <w:tr w14:paraId="7AD9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64" w:type="pct"/>
            <w:gridSpan w:val="2"/>
            <w:vAlign w:val="center"/>
          </w:tcPr>
          <w:p w14:paraId="1C489C2A">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jc w:val="both"/>
              <w:outlineLvl w:val="9"/>
              <w:rPr>
                <w:rFonts w:hint="default" w:ascii="宋体" w:hAnsi="宋体" w:eastAsia="宋体"/>
                <w:bCs/>
                <w:color w:val="auto"/>
                <w:kern w:val="2"/>
                <w:highlight w:val="none"/>
                <w:lang w:val="en-US" w:eastAsia="zh-CN"/>
              </w:rPr>
            </w:pPr>
          </w:p>
          <w:p w14:paraId="67022D46">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outlineLvl w:val="9"/>
              <w:rPr>
                <w:rFonts w:hint="eastAsia" w:ascii="宋体" w:hAnsi="宋体" w:eastAsia="宋体" w:cs="宋体"/>
                <w:b/>
                <w:bCs/>
                <w:color w:val="auto"/>
                <w:sz w:val="24"/>
                <w:szCs w:val="24"/>
                <w:highlight w:val="none"/>
              </w:rPr>
            </w:pPr>
            <w:r>
              <w:rPr>
                <w:rFonts w:hint="eastAsia" w:ascii="宋体" w:hAnsi="宋体" w:eastAsia="宋体"/>
                <w:b w:val="0"/>
                <w:color w:val="auto"/>
                <w:sz w:val="24"/>
                <w:highlight w:val="none"/>
                <w:lang w:val="en-US" w:eastAsia="zh-CN"/>
              </w:rPr>
              <w:t>其他内容</w:t>
            </w:r>
          </w:p>
        </w:tc>
        <w:tc>
          <w:tcPr>
            <w:tcW w:w="3535" w:type="pct"/>
            <w:vAlign w:val="center"/>
          </w:tcPr>
          <w:p w14:paraId="6B64AA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hint="default" w:asciiTheme="minorEastAsia" w:hAnsiTheme="minorEastAsia" w:eastAsiaTheme="minorEastAsia"/>
                <w:bCs/>
                <w:color w:val="auto"/>
                <w:sz w:val="24"/>
                <w:szCs w:val="24"/>
                <w:highlight w:val="none"/>
              </w:rPr>
              <w:t>构成本招标文件的各个组成文件应互为解释，互为说明；</w:t>
            </w:r>
          </w:p>
          <w:p w14:paraId="0D7134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hint="default" w:asciiTheme="minorEastAsia" w:hAnsiTheme="minorEastAsia" w:eastAsiaTheme="minorEastAsia"/>
                <w:bCs/>
                <w:color w:val="auto"/>
                <w:sz w:val="24"/>
                <w:szCs w:val="24"/>
                <w:highlight w:val="none"/>
              </w:rPr>
              <w:t>同一组成文件中就同一事项的规定或约定不一致的，以编排顺序在后者为准；</w:t>
            </w:r>
          </w:p>
          <w:p w14:paraId="0FC2FD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hint="default"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57933C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hint="default"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hint="default"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hint="default"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hint="default" w:asciiTheme="minorEastAsia" w:hAnsiTheme="minorEastAsia" w:eastAsiaTheme="minorEastAsia"/>
                <w:bCs/>
                <w:color w:val="auto"/>
                <w:sz w:val="24"/>
                <w:szCs w:val="24"/>
                <w:highlight w:val="none"/>
              </w:rPr>
              <w:t>、投标文件格式的先后顺序解释；</w:t>
            </w:r>
          </w:p>
          <w:p w14:paraId="18A8FBDD">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outlineLvl w:val="9"/>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hint="default"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hint="default" w:cs="@仿宋_GB2312" w:asciiTheme="minorEastAsia" w:hAnsiTheme="minorEastAsia" w:eastAsiaTheme="minorEastAsia"/>
                <w:b w:val="0"/>
                <w:bCs/>
                <w:color w:val="auto"/>
                <w:kern w:val="2"/>
                <w:sz w:val="24"/>
                <w:szCs w:val="24"/>
                <w:highlight w:val="none"/>
                <w:lang w:val="en-US" w:eastAsia="zh-CN" w:bidi="ar-SA"/>
              </w:rPr>
              <w:t>人负责解释。</w:t>
            </w:r>
          </w:p>
        </w:tc>
      </w:tr>
    </w:tbl>
    <w:p w14:paraId="50BFF547">
      <w:pPr>
        <w:spacing w:line="360" w:lineRule="auto"/>
        <w:jc w:val="center"/>
        <w:outlineLvl w:val="9"/>
        <w:rPr>
          <w:rFonts w:asciiTheme="minorEastAsia" w:hAnsiTheme="minorEastAsia" w:eastAsiaTheme="minorEastAsia"/>
          <w:b/>
          <w:color w:val="auto"/>
          <w:sz w:val="24"/>
          <w:highlight w:val="none"/>
        </w:rPr>
      </w:pPr>
      <w:bookmarkStart w:id="4" w:name="_Toc14880"/>
      <w:bookmarkStart w:id="5" w:name="_Toc24882"/>
      <w:r>
        <w:rPr>
          <w:rFonts w:hint="eastAsia" w:asciiTheme="minorEastAsia" w:hAnsiTheme="minorEastAsia" w:eastAsiaTheme="minorEastAsia"/>
          <w:b/>
          <w:color w:val="auto"/>
          <w:sz w:val="24"/>
          <w:szCs w:val="24"/>
          <w:highlight w:val="none"/>
        </w:rPr>
        <w:t>二、</w:t>
      </w:r>
      <w:r>
        <w:rPr>
          <w:rFonts w:asciiTheme="minorEastAsia" w:hAnsiTheme="minorEastAsia" w:eastAsiaTheme="minorEastAsia"/>
          <w:b/>
          <w:color w:val="auto"/>
          <w:sz w:val="24"/>
          <w:szCs w:val="24"/>
          <w:highlight w:val="none"/>
        </w:rPr>
        <w:t>投标人须知</w:t>
      </w:r>
      <w:r>
        <w:rPr>
          <w:rFonts w:hint="eastAsia" w:asciiTheme="minorEastAsia" w:hAnsiTheme="minorEastAsia" w:eastAsiaTheme="minorEastAsia"/>
          <w:b/>
          <w:color w:val="auto"/>
          <w:sz w:val="24"/>
          <w:szCs w:val="24"/>
          <w:highlight w:val="none"/>
        </w:rPr>
        <w:t>正文</w:t>
      </w:r>
      <w:bookmarkEnd w:id="4"/>
      <w:bookmarkEnd w:id="5"/>
    </w:p>
    <w:p w14:paraId="15307A5F">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70147D5A">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.1采购人：是指依法开展采购活动的国家机关、事业单位、团体组织。</w:t>
      </w:r>
    </w:p>
    <w:p w14:paraId="2A1B0796">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766C949B">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.3采购监督管理部门：</w:t>
      </w:r>
      <w:r>
        <w:rPr>
          <w:rFonts w:hint="eastAsia" w:ascii="宋体" w:hAnsi="宋体" w:eastAsia="宋体"/>
          <w:color w:val="auto"/>
          <w:sz w:val="24"/>
          <w:highlight w:val="none"/>
        </w:rPr>
        <w:t>有关部门依法履行与采购活动有关的监督管理职责。</w:t>
      </w:r>
    </w:p>
    <w:p w14:paraId="37F00CD5">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分支机构不得参加采购活动，但银行、保险、石油石化、电力、电信等特殊行业除外。</w:t>
      </w:r>
      <w:r>
        <w:rPr>
          <w:rFonts w:ascii="宋体" w:hAnsi="宋体" w:eastAsia="宋体"/>
          <w:color w:val="auto"/>
          <w:sz w:val="24"/>
          <w:highlight w:val="none"/>
        </w:rPr>
        <w:t>本项目的投标人须满足以下条件：</w:t>
      </w:r>
    </w:p>
    <w:p w14:paraId="5052B5B8">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具备供应商条件的规定，遵守本项目采购人本级和上级财政部门采购的有关规定。</w:t>
      </w:r>
    </w:p>
    <w:p w14:paraId="5CCB1E77">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0D16520B">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6AFFDA94">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31DF6E73">
      <w:pPr>
        <w:spacing w:line="360" w:lineRule="auto"/>
        <w:ind w:firstLine="437"/>
        <w:outlineLvl w:val="9"/>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1DD3B137">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5A5D4653">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10B39BDE">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2685F645">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68CB8267">
      <w:pPr>
        <w:spacing w:line="360" w:lineRule="auto"/>
        <w:ind w:firstLine="435"/>
        <w:outlineLvl w:val="9"/>
        <w:rPr>
          <w:rFonts w:hint="eastAsia" w:asciiTheme="minorEastAsia" w:hAnsiTheme="minorEastAsia" w:eastAsiaTheme="minorEastAsia"/>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7742902B">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5.招标文件构成</w:t>
      </w:r>
    </w:p>
    <w:p w14:paraId="242CBDE5">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68CF2928">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75C338F4">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6537BA50">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325FE5A8">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2A66463B">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采购合同</w:t>
      </w:r>
    </w:p>
    <w:p w14:paraId="22753CF0">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71F1303F">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1452824A">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55E63C6F">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投标人应认真阅读招标文件所有的事项、格式、条款和技术规范等。</w:t>
      </w:r>
    </w:p>
    <w:p w14:paraId="2D7ED896">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6.招标文件的澄清与修改</w:t>
      </w:r>
    </w:p>
    <w:p w14:paraId="557F3317">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6.1投标人如对招标文件内容有疑问，可在投标人须知前附表规定的时间及方式提出疑问提交给采购代理机构邮箱。</w:t>
      </w:r>
    </w:p>
    <w:p w14:paraId="7E48B3C0">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6.2采购人可主动地或在答复投标人提出的询问时对招标文件进行澄清与修改。采购代理机构将在滁州市机电工程学校官网以发布更正公告的方式，澄清或修改招标文件，更正公告的内容作为招标文件的组成部分，对投标人起约束作用。投标人应主动上网查询。采购代理机构不承担投标人未及时关注相关信息引发的相关责任。</w:t>
      </w:r>
    </w:p>
    <w:p w14:paraId="752D8299">
      <w:pPr>
        <w:spacing w:line="360" w:lineRule="auto"/>
        <w:ind w:firstLine="437"/>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2152342">
      <w:pPr>
        <w:spacing w:line="360" w:lineRule="auto"/>
        <w:ind w:firstLine="437"/>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6.4对于没有提出疑问又参与了本项目投标的投标人将被视为完全认同本招标文件（含更正公告的内容）。</w:t>
      </w:r>
    </w:p>
    <w:p w14:paraId="41E0B41E">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7.投标范围及投标文件中标准和计量单位的使用</w:t>
      </w:r>
    </w:p>
    <w:p w14:paraId="7CF81163">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4FF3314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7D3CD275">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投标人所投货物及伴随的服务均应符合国家强制性标准。</w:t>
      </w:r>
    </w:p>
    <w:p w14:paraId="427FC3A1">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0189C2D">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450A2AF8">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5A11D808">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44781BC0">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r>
        <w:rPr>
          <w:rFonts w:hint="eastAsia" w:asciiTheme="minorEastAsia" w:hAnsiTheme="minorEastAsia" w:eastAsiaTheme="minorEastAsia"/>
          <w:color w:val="auto"/>
          <w:sz w:val="24"/>
          <w:highlight w:val="none"/>
          <w:lang w:val="en-US" w:eastAsia="zh-CN"/>
        </w:rPr>
        <w:t>等。</w:t>
      </w:r>
    </w:p>
    <w:p w14:paraId="004FEE4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38DCE896">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7944341E">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450A3C1D">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1C389C4D">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480119AE">
      <w:pPr>
        <w:spacing w:line="360" w:lineRule="auto"/>
        <w:ind w:firstLine="435"/>
        <w:outlineLvl w:val="9"/>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7DCB56D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288D25D6">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3B366C3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6DDAE298">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593FE3AD">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6F3EDDCD">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1FA125C7">
      <w:pPr>
        <w:spacing w:line="360" w:lineRule="auto"/>
        <w:ind w:firstLine="435"/>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CD857ED">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12.投标文件</w:t>
      </w:r>
    </w:p>
    <w:p w14:paraId="4EF07E76">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12.1投标文件份数</w:t>
      </w:r>
    </w:p>
    <w:p w14:paraId="5440D4EF">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12.1.1投标文件份数要求见投标人须知前附表规定。</w:t>
      </w:r>
    </w:p>
    <w:p w14:paraId="732EF492">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12.2投标文件装订</w:t>
      </w:r>
    </w:p>
    <w:p w14:paraId="473E0CFD">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12.1.1投标文件应按A4纸大小进行装订，对于较大图、表，可采用A3纸，但需要按A4纸大小进行折叠、装订，资信证明文件、技术标、商务标应当分别装订。投标文件的正本与副本应分别装订成册,具体装订要求见投标人须知前附表规定。</w:t>
      </w:r>
    </w:p>
    <w:p w14:paraId="095D2ABD">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12.3</w:t>
      </w:r>
      <w:r>
        <w:rPr>
          <w:rFonts w:hint="eastAsia" w:ascii="宋体" w:hAnsi="宋体" w:eastAsia="宋体" w:cs="@仿宋_GB2312"/>
          <w:b/>
          <w:bCs/>
          <w:color w:val="auto"/>
          <w:kern w:val="2"/>
          <w:sz w:val="24"/>
          <w:szCs w:val="24"/>
          <w:highlight w:val="none"/>
          <w:lang w:val="en-US" w:eastAsia="zh-CN" w:bidi="ar"/>
        </w:rPr>
        <w:t xml:space="preserve"> </w:t>
      </w:r>
      <w:r>
        <w:rPr>
          <w:rFonts w:hint="eastAsia" w:ascii="宋体" w:hAnsi="宋体" w:eastAsia="宋体" w:cs="宋体"/>
          <w:b/>
          <w:bCs/>
          <w:color w:val="auto"/>
          <w:kern w:val="2"/>
          <w:sz w:val="24"/>
          <w:szCs w:val="24"/>
          <w:highlight w:val="none"/>
          <w:lang w:val="en-US" w:eastAsia="zh-CN" w:bidi="ar"/>
        </w:rPr>
        <w:t>投标文件的密封和标记</w:t>
      </w:r>
    </w:p>
    <w:p w14:paraId="0089743D">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12.3.1 投标文件应进行包装、加贴封条，并在封套的封口处加盖投标人单位章。</w:t>
      </w:r>
    </w:p>
    <w:p w14:paraId="64DCB11C">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12.3.2 投标文件封套上应写明的内容及具体密封要求见投标人须知前附表。</w:t>
      </w:r>
    </w:p>
    <w:p w14:paraId="00DF4B86">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12.3.未按本章第12.3.1项或12.3.2项要求密封和加写标记的投标文件，采购人应予拒收。</w:t>
      </w:r>
    </w:p>
    <w:p w14:paraId="05102813">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12</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4投标文件的递交、修改与撤回</w:t>
      </w:r>
    </w:p>
    <w:p w14:paraId="55160CE8">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12.2.1投标人应当在招标公告规定的投标截止时间前递交投标文件。</w:t>
      </w:r>
    </w:p>
    <w:p w14:paraId="2623DEAD">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12.2.2投标人应当在投标截止时间前完成投标文件的递交，并可以补充、修改或者撤回投标文件。投标截止时间前未完成投标文件递交的，视为撤回投标文件。未按规定投标截止时间后送达的投标文件，应当拒收。</w:t>
      </w:r>
    </w:p>
    <w:p w14:paraId="2B6D46C3">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12.2.3投标人对投标文件的补充、修改，应按本须知第12.1条、第12.2条和第12.3条有关规定密封、标记和提交，并在投标文件密封袋上清楚标明“补充”、“修改”字样。</w:t>
      </w:r>
    </w:p>
    <w:p w14:paraId="0879B98E">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12.2.4</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在投标截止时间之后，投标人不得补充、修改投标文件。</w:t>
      </w:r>
    </w:p>
    <w:p w14:paraId="2AB738B7">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12.2.5</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投标截止时间之后，投标文件不得撤回；如果撤回的，投标保证金不予退还。</w:t>
      </w:r>
    </w:p>
    <w:p w14:paraId="68AD784C">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13</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开标</w:t>
      </w:r>
    </w:p>
    <w:p w14:paraId="4B9382B5">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w:t>
      </w:r>
      <w:r>
        <w:rPr>
          <w:rFonts w:hint="eastAsia" w:ascii="宋体" w:hAnsi="宋体" w:eastAsia="宋体" w:cs="@仿宋_GB2312"/>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1开标时，各投标人代表对各投标文件进行密封检查。</w:t>
      </w:r>
      <w:r>
        <w:rPr>
          <w:rFonts w:hint="eastAsia" w:ascii="宋体" w:hAnsi="宋体" w:eastAsia="宋体" w:cs="宋体"/>
          <w:b/>
          <w:bCs/>
          <w:color w:val="auto"/>
          <w:kern w:val="2"/>
          <w:sz w:val="24"/>
          <w:szCs w:val="24"/>
          <w:highlight w:val="none"/>
          <w:lang w:val="en-US" w:eastAsia="zh-CN" w:bidi="ar"/>
        </w:rPr>
        <w:t>法定代表人参加开标会议，应携带本人身份证；委托代理人参加开标会议应携带法定代表人授权书和本人身份证。</w:t>
      </w:r>
    </w:p>
    <w:p w14:paraId="3EB4F779">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w:t>
      </w:r>
      <w:r>
        <w:rPr>
          <w:rFonts w:hint="eastAsia" w:ascii="宋体" w:hAnsi="宋体" w:eastAsia="宋体" w:cs="@仿宋_GB2312"/>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2开标时，采购代理机构公布开标结果，公布内容包括投标人名称、投标价格及招标文件规定的内容。</w:t>
      </w:r>
    </w:p>
    <w:p w14:paraId="48E0B11C">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13.3采购人或采购代理机构将对开标过程进行记录，由参加开标的各投标人代表和相关工作人员签字确认，并存档备查。</w:t>
      </w:r>
    </w:p>
    <w:p w14:paraId="1F0A60BE">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投标人未派代表参加开标的，视同投标人认可开标结果。</w:t>
      </w:r>
    </w:p>
    <w:p w14:paraId="7BEFD0B6">
      <w:pPr>
        <w:keepNext w:val="0"/>
        <w:keepLines w:val="0"/>
        <w:widowControl w:val="0"/>
        <w:suppressLineNumbers w:val="0"/>
        <w:spacing w:before="0" w:beforeAutospacing="0" w:after="0" w:afterAutospacing="0"/>
        <w:ind w:left="0" w:right="0"/>
        <w:jc w:val="both"/>
        <w:outlineLvl w:val="9"/>
        <w:rPr>
          <w:color w:val="auto"/>
          <w:highlight w:val="none"/>
        </w:rPr>
      </w:pPr>
      <w:r>
        <w:rPr>
          <w:rFonts w:hint="eastAsia" w:ascii="宋体" w:hAnsi="宋体" w:eastAsia="宋体" w:cs="宋体"/>
          <w:color w:val="auto"/>
          <w:kern w:val="2"/>
          <w:sz w:val="24"/>
          <w:szCs w:val="24"/>
          <w:highlight w:val="none"/>
          <w:lang w:val="en-US" w:eastAsia="zh-CN" w:bidi="ar"/>
        </w:rPr>
        <w:t>13.4投标人代表对开标过程和开标记录有疑义，以及认为采购人、采购代理机构相关工作人员有需要回避的情形的，应当场提出询问或者回避申请。</w:t>
      </w:r>
    </w:p>
    <w:p w14:paraId="561C91E0">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w:t>
      </w:r>
    </w:p>
    <w:p w14:paraId="175F67BB">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3FECE294">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014C24BF">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15.1符合性审查是指依据招标文件的规定，从投标文件的有效性和完整性对招标文件的响应程度进行审查，以确定是否对招标文件的实质性要求做出响应。</w:t>
      </w:r>
    </w:p>
    <w:p w14:paraId="6E550632">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15.2投标文件的澄清</w:t>
      </w:r>
    </w:p>
    <w:p w14:paraId="287259F1">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76AC5923">
      <w:pPr>
        <w:spacing w:line="360" w:lineRule="auto"/>
        <w:ind w:firstLine="437"/>
        <w:outlineLvl w:val="9"/>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投标人未派代表参加开标的或投标人授权代表联系不上等情形而无法接受评标委员会询标的，投标人自行承担相关风险。</w:t>
      </w:r>
    </w:p>
    <w:p w14:paraId="34EEB155">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15.2.2投标人的澄清、说明或补正将作为投标文件的一部分。</w:t>
      </w:r>
    </w:p>
    <w:p w14:paraId="7BC4C169">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15.2.3评标委员会对投标人提交的澄清、说明或补正有疑问的，可以要求投标人进一步澄清、说明或补正，直至满足评标委员会的要求。</w:t>
      </w:r>
    </w:p>
    <w:p w14:paraId="776A9164">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15.3投标文件报价出现前后不一致的，按照下列规定修正：</w:t>
      </w:r>
    </w:p>
    <w:p w14:paraId="10258F87">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（1）投标文件中开标一览表内容与投标文件中相应内容不一致的，以开标一览表为准；</w:t>
      </w:r>
    </w:p>
    <w:p w14:paraId="71D08026">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（2）大写金额和小写金额不一致的，以大写金额为准；</w:t>
      </w:r>
    </w:p>
    <w:p w14:paraId="72909B4D">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（3）单价金额小数点或者百分比有明显错位的，以开标一览表的总价为准，并修改单价；</w:t>
      </w:r>
    </w:p>
    <w:p w14:paraId="458618D6">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（4）总价金额与按单价汇总金额不一致的，以单价金额计算结果为准。</w:t>
      </w:r>
    </w:p>
    <w:p w14:paraId="2A1379FB">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同时出现两种以上不一致的，按照前款规定的顺序修正。修正后的报价按照第15.4条的规定经投标人确认后产生约束力，投标人不确认的，其投标将被认定为</w:t>
      </w:r>
      <w:r>
        <w:rPr>
          <w:rFonts w:hint="eastAsia" w:asciiTheme="minorEastAsia" w:hAnsiTheme="minorEastAsia" w:eastAsiaTheme="minorEastAsia"/>
          <w:b/>
          <w:bCs/>
          <w:color w:val="auto"/>
          <w:sz w:val="24"/>
          <w:highlight w:val="none"/>
          <w:lang w:val="en-US" w:eastAsia="zh-CN"/>
        </w:rPr>
        <w:t>投标无效</w:t>
      </w:r>
      <w:r>
        <w:rPr>
          <w:rFonts w:hint="eastAsia" w:asciiTheme="minorEastAsia" w:hAnsiTheme="minorEastAsia" w:eastAsiaTheme="minorEastAsia"/>
          <w:color w:val="auto"/>
          <w:sz w:val="24"/>
          <w:highlight w:val="none"/>
          <w:lang w:val="en-US" w:eastAsia="zh-CN"/>
        </w:rPr>
        <w:t>。</w:t>
      </w:r>
    </w:p>
    <w:p w14:paraId="1C38EB3D">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对不同文字文本投标文件的解释发生异议的，以中文文本为准。</w:t>
      </w:r>
    </w:p>
    <w:p w14:paraId="47A2F2E1">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582F5329">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0945D4B3">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1870AE18">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w:t>
      </w:r>
      <w:r>
        <w:rPr>
          <w:rFonts w:hint="eastAsia" w:asciiTheme="minorEastAsia" w:hAnsiTheme="minorEastAsia" w:eastAsiaTheme="minorEastAsia"/>
          <w:color w:val="auto"/>
          <w:sz w:val="24"/>
          <w:highlight w:val="none"/>
          <w:lang w:val="en-US" w:eastAsia="zh-CN"/>
        </w:rPr>
        <w:t>加盖投标人公章的复印件</w:t>
      </w:r>
      <w:r>
        <w:rPr>
          <w:rFonts w:hint="eastAsia" w:asciiTheme="minorEastAsia" w:hAnsiTheme="minorEastAsia" w:eastAsiaTheme="minorEastAsia"/>
          <w:color w:val="auto"/>
          <w:sz w:val="24"/>
          <w:highlight w:val="none"/>
        </w:rPr>
        <w:t>，评标委员会视同其未提供。</w:t>
      </w:r>
    </w:p>
    <w:p w14:paraId="3516B0F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072714A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7D4978C7">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108AC581">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3960F8A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73201D7F">
      <w:pPr>
        <w:spacing w:line="360" w:lineRule="auto"/>
        <w:ind w:firstLine="435"/>
        <w:outlineLvl w:val="9"/>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48B97F25">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2C0BE6D1">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7830B33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3466D7C8">
      <w:pPr>
        <w:spacing w:line="360" w:lineRule="auto"/>
        <w:ind w:firstLine="435"/>
        <w:outlineLvl w:val="9"/>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6BD7ED47">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618C205A">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1E1FC4C1">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28A37E38">
      <w:pPr>
        <w:spacing w:line="360" w:lineRule="auto"/>
        <w:ind w:firstLine="435"/>
        <w:outlineLvl w:val="9"/>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01782831">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15D283B2">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3B16ADE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54E2139E">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3A7C52BA">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6F283EE0">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auto"/>
          <w:kern w:val="2"/>
          <w:sz w:val="24"/>
          <w:szCs w:val="24"/>
          <w:highlight w:val="none"/>
          <w:u w:val="none"/>
          <w:lang w:val="en-US" w:eastAsia="zh-CN" w:bidi="ar-SA"/>
        </w:rPr>
        <w:t>采购监督管理部门</w:t>
      </w:r>
      <w:r>
        <w:rPr>
          <w:rFonts w:hint="eastAsia" w:asciiTheme="minorEastAsia" w:hAnsiTheme="minorEastAsia" w:eastAsiaTheme="minorEastAsia"/>
          <w:color w:val="auto"/>
          <w:sz w:val="24"/>
          <w:highlight w:val="none"/>
        </w:rPr>
        <w:t>批准。</w:t>
      </w:r>
    </w:p>
    <w:p w14:paraId="1A738F05">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707D8BDA">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6B56C080">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3FB5611B">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3527DDA4">
      <w:pPr>
        <w:spacing w:line="360" w:lineRule="auto"/>
        <w:ind w:firstLine="435"/>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534CC528">
      <w:pPr>
        <w:spacing w:line="360" w:lineRule="auto"/>
        <w:ind w:firstLine="437"/>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71BACCFE">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2CAECDB1">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708E640F">
      <w:pPr>
        <w:spacing w:line="360" w:lineRule="auto"/>
        <w:ind w:firstLine="435"/>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0C65CB75">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4FB0FFF0">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4DD43CEA">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22</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编写评标报告</w:t>
      </w:r>
    </w:p>
    <w:p w14:paraId="76EFFDAE">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52E88DF">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23</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中标结果公告</w:t>
      </w:r>
    </w:p>
    <w:p w14:paraId="5F3C6AF0">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w:t>
      </w:r>
      <w:r>
        <w:rPr>
          <w:rFonts w:hint="eastAsia" w:ascii="宋体" w:hAnsi="宋体" w:eastAsia="宋体" w:cs="@仿宋_GB2312"/>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除</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规定由评标委员会直接确定中标人外，在评标结束后</w:t>
      </w:r>
      <w:r>
        <w:rPr>
          <w:rFonts w:hint="eastAsia" w:ascii="宋体" w:hAnsi="宋体" w:eastAsia="宋体" w:cs="@仿宋_GB2312"/>
          <w:color w:val="auto"/>
          <w:kern w:val="2"/>
          <w:sz w:val="24"/>
          <w:szCs w:val="24"/>
          <w:highlight w:val="none"/>
          <w:lang w:val="en-US" w:eastAsia="zh-CN" w:bidi="ar"/>
        </w:rPr>
        <w:t>2个工作日内</w:t>
      </w:r>
      <w:r>
        <w:rPr>
          <w:rFonts w:hint="eastAsia" w:ascii="宋体" w:hAnsi="宋体" w:eastAsia="宋体" w:cs="宋体"/>
          <w:color w:val="auto"/>
          <w:kern w:val="2"/>
          <w:sz w:val="24"/>
          <w:szCs w:val="24"/>
          <w:highlight w:val="none"/>
          <w:lang w:val="en-US" w:eastAsia="zh-CN" w:bidi="ar"/>
        </w:rPr>
        <w:t>，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82FD96C">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w:t>
      </w: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自中标人确定之日起2个工作日内，采购人将在滁州市机电工程学校官网（http://www.cztc.edu.cn/）上发布中标结果公告。</w:t>
      </w:r>
    </w:p>
    <w:p w14:paraId="405E6582">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23.3中标结果公告内容应当包括采购人及其委托的采购代理机构的名称、地址、联系方式，项目名称和项目编号，中标人名称、地址和中标金额，主要中标标的</w:t>
      </w:r>
      <w:r>
        <w:rPr>
          <w:rFonts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val="en-US" w:eastAsia="zh-CN"/>
        </w:rPr>
        <w:t>品牌、</w:t>
      </w:r>
      <w:r>
        <w:rPr>
          <w:rFonts w:asciiTheme="minorEastAsia" w:hAnsiTheme="minorEastAsia" w:eastAsiaTheme="minorEastAsia"/>
          <w:color w:val="auto"/>
          <w:sz w:val="24"/>
          <w:highlight w:val="none"/>
        </w:rPr>
        <w:t>规格型号、数量、单价</w:t>
      </w:r>
      <w:r>
        <w:rPr>
          <w:rFonts w:hint="eastAsia" w:ascii="宋体" w:hAnsi="宋体" w:eastAsia="宋体" w:cs="宋体"/>
          <w:color w:val="auto"/>
          <w:kern w:val="2"/>
          <w:sz w:val="24"/>
          <w:szCs w:val="24"/>
          <w:highlight w:val="none"/>
          <w:lang w:val="en-US" w:eastAsia="zh-CN" w:bidi="ar"/>
        </w:rPr>
        <w:t>，中标公告期限以及投标人须知前附表中约定进行公告的内容。中标公告期限为</w:t>
      </w:r>
      <w:r>
        <w:rPr>
          <w:rFonts w:hint="eastAsia" w:ascii="宋体" w:hAnsi="宋体" w:eastAsia="宋体" w:cs="@仿宋_GB2312"/>
          <w:color w:val="auto"/>
          <w:kern w:val="2"/>
          <w:sz w:val="24"/>
          <w:szCs w:val="24"/>
          <w:highlight w:val="none"/>
          <w:lang w:val="en-US" w:eastAsia="zh-CN" w:bidi="ar"/>
        </w:rPr>
        <w:t>1个工作日。</w:t>
      </w:r>
    </w:p>
    <w:p w14:paraId="18A0D19E">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24</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中标通知书</w:t>
      </w:r>
    </w:p>
    <w:p w14:paraId="0ED8DE87">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仿宋_GB2312"/>
          <w:color w:val="auto"/>
          <w:kern w:val="2"/>
          <w:sz w:val="24"/>
          <w:szCs w:val="24"/>
          <w:highlight w:val="none"/>
          <w:lang w:val="en-US" w:eastAsia="zh-CN" w:bidi="ar"/>
        </w:rPr>
        <w:t>.1采购代理机构</w:t>
      </w:r>
      <w:r>
        <w:rPr>
          <w:rFonts w:hint="eastAsia" w:ascii="宋体" w:hAnsi="宋体" w:eastAsia="宋体" w:cs="宋体"/>
          <w:color w:val="auto"/>
          <w:kern w:val="2"/>
          <w:sz w:val="24"/>
          <w:szCs w:val="24"/>
          <w:highlight w:val="none"/>
          <w:lang w:val="en-US" w:eastAsia="zh-CN" w:bidi="ar"/>
        </w:rPr>
        <w:t>发布中标结果公告</w:t>
      </w:r>
      <w:r>
        <w:rPr>
          <w:rFonts w:hint="eastAsia" w:ascii="宋体" w:hAnsi="宋体" w:eastAsia="宋体" w:cs="宋体"/>
          <w:iCs/>
          <w:color w:val="auto"/>
          <w:kern w:val="2"/>
          <w:sz w:val="24"/>
          <w:szCs w:val="24"/>
          <w:highlight w:val="none"/>
          <w:lang w:val="en-US" w:eastAsia="zh-CN" w:bidi="ar"/>
        </w:rPr>
        <w:t>的</w:t>
      </w:r>
      <w:r>
        <w:rPr>
          <w:rFonts w:hint="eastAsia" w:ascii="宋体" w:hAnsi="宋体" w:eastAsia="宋体" w:cs="宋体"/>
          <w:color w:val="auto"/>
          <w:kern w:val="2"/>
          <w:sz w:val="24"/>
          <w:szCs w:val="24"/>
          <w:highlight w:val="none"/>
          <w:lang w:val="en-US" w:eastAsia="zh-CN" w:bidi="ar"/>
        </w:rPr>
        <w:t>同时以</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规定的形式向中标人发出中标通知书。</w:t>
      </w:r>
    </w:p>
    <w:p w14:paraId="1382BC45">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仿宋_GB2312"/>
          <w:color w:val="auto"/>
          <w:kern w:val="2"/>
          <w:sz w:val="24"/>
          <w:szCs w:val="24"/>
          <w:highlight w:val="none"/>
          <w:lang w:val="en-US" w:eastAsia="zh-CN" w:bidi="ar"/>
        </w:rPr>
        <w:t>.2中标通知书对采购人和中标</w:t>
      </w:r>
      <w:r>
        <w:rPr>
          <w:rFonts w:hint="eastAsia" w:ascii="宋体" w:hAnsi="宋体" w:eastAsia="宋体" w:cs="宋体"/>
          <w:color w:val="auto"/>
          <w:kern w:val="2"/>
          <w:sz w:val="24"/>
          <w:szCs w:val="24"/>
          <w:highlight w:val="none"/>
          <w:lang w:val="en-US" w:eastAsia="zh-CN" w:bidi="ar"/>
        </w:rPr>
        <w:t>人具有同等法律效力。中标通知书发出以后，采购人改变中标结果或者中标人放弃中标，应当承担相应的法律责任。</w:t>
      </w:r>
    </w:p>
    <w:p w14:paraId="386D1F79">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仿宋_GB2312"/>
          <w:color w:val="auto"/>
          <w:kern w:val="2"/>
          <w:sz w:val="24"/>
          <w:szCs w:val="24"/>
          <w:highlight w:val="none"/>
          <w:lang w:val="en-US" w:eastAsia="zh-CN" w:bidi="ar"/>
        </w:rPr>
        <w:t>.3中标通知书是</w:t>
      </w:r>
      <w:r>
        <w:rPr>
          <w:rFonts w:hint="eastAsia" w:ascii="宋体" w:hAnsi="宋体" w:eastAsia="宋体" w:cs="宋体"/>
          <w:color w:val="auto"/>
          <w:kern w:val="2"/>
          <w:sz w:val="24"/>
          <w:szCs w:val="24"/>
          <w:highlight w:val="none"/>
          <w:lang w:val="en-US" w:eastAsia="zh-CN" w:bidi="ar"/>
        </w:rPr>
        <w:t>合同的组成部分。</w:t>
      </w:r>
    </w:p>
    <w:p w14:paraId="57AD1651">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25</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告知招标结果</w:t>
      </w:r>
    </w:p>
    <w:p w14:paraId="3E0DC2E4">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25</w:t>
      </w:r>
      <w:r>
        <w:rPr>
          <w:rFonts w:hint="eastAsia" w:ascii="宋体" w:hAnsi="宋体" w:eastAsia="宋体" w:cs="@仿宋_GB2312"/>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在公告中标结果的同时，采购代理机构同时以</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规定的形式告知未通过资格审查的投标人未通过的原因；采用综合评分法评审的，还将告知未中标人本人的评审得分和排序。</w:t>
      </w:r>
    </w:p>
    <w:p w14:paraId="52D52BD3">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26</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履约保证金（本项目不采用）</w:t>
      </w:r>
    </w:p>
    <w:p w14:paraId="01F55A03">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26.1中标人应按照</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规定缴纳履约保证金。</w:t>
      </w:r>
    </w:p>
    <w:p w14:paraId="3C4697BA">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26.</w:t>
      </w: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如果中标人没有按照上述履约保证金的规定执行，将视为放弃中标资格。在此情况下，采购人可确定下一中标候选人为中标人，也可以重新开展采购活动。</w:t>
      </w:r>
    </w:p>
    <w:p w14:paraId="6ADD1DB9">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27</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签订合同</w:t>
      </w:r>
    </w:p>
    <w:p w14:paraId="31EEB0AE">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27.1采购人与中标人应当按照</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规定的时间内完成政府采购合同签订及合同公告。</w:t>
      </w:r>
    </w:p>
    <w:p w14:paraId="33983249">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27.2招标文件、中标人的投标文件及其澄清文件等，均为签订合同的依据。</w:t>
      </w:r>
    </w:p>
    <w:p w14:paraId="48485386">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27.3中标人拒绝与采购人签订合同的，采购人可以按照评审报告推荐的中标候选人名单排序，确定下一中标候选人为中标人，也可以重新开展采购活动。</w:t>
      </w:r>
    </w:p>
    <w:p w14:paraId="6A3398B4">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28</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代理费用</w:t>
      </w:r>
    </w:p>
    <w:p w14:paraId="0D15334C">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28</w:t>
      </w:r>
      <w:r>
        <w:rPr>
          <w:rFonts w:hint="eastAsia" w:ascii="宋体" w:hAnsi="宋体" w:eastAsia="宋体" w:cs="@仿宋_GB2312"/>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本项目代理费用的收取按</w:t>
      </w:r>
      <w:r>
        <w:rPr>
          <w:rFonts w:hint="eastAsia" w:ascii="宋体" w:hAnsi="宋体" w:eastAsia="宋体" w:cs="宋体"/>
          <w:color w:val="auto"/>
          <w:kern w:val="2"/>
          <w:sz w:val="24"/>
          <w:szCs w:val="24"/>
          <w:highlight w:val="none"/>
          <w:u w:val="single"/>
          <w:lang w:val="en-US" w:eastAsia="zh-CN" w:bidi="ar"/>
        </w:rPr>
        <w:t>投标人须知前附表的</w:t>
      </w:r>
      <w:r>
        <w:rPr>
          <w:rFonts w:hint="eastAsia" w:ascii="宋体" w:hAnsi="宋体" w:eastAsia="宋体" w:cs="宋体"/>
          <w:color w:val="auto"/>
          <w:kern w:val="2"/>
          <w:sz w:val="24"/>
          <w:szCs w:val="24"/>
          <w:highlight w:val="none"/>
          <w:lang w:val="en-US" w:eastAsia="zh-CN" w:bidi="ar"/>
        </w:rPr>
        <w:t>规定执行。</w:t>
      </w:r>
    </w:p>
    <w:p w14:paraId="1EB490A4">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29.廉洁自律规定</w:t>
      </w:r>
    </w:p>
    <w:p w14:paraId="24A1BF33">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29.1采购代理机构工作人员不得以不正当手段获取政府采购代理业务，不得与采购人、供应商恶意串通。</w:t>
      </w:r>
    </w:p>
    <w:p w14:paraId="500631D1">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29.</w:t>
      </w: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采购代理机构工作人员不得接受采购人或者供应商组织的宴请、旅游、娱乐，不得收受礼品、现金、有价证券等，不得向采购人或者供应商报销应当由个人承担的费用。</w:t>
      </w:r>
    </w:p>
    <w:p w14:paraId="3112B2AE">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30.人员回避</w:t>
      </w:r>
    </w:p>
    <w:p w14:paraId="3020C464">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default" w:ascii="仿宋_GB2312" w:hAnsi="宋体" w:eastAsia="仿宋_GB2312"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投标人认为采购人员及其相关人员有法律法规所列与其他供应商有利害关系的，可以向采购人或采购代理机构书面提出回避申请，并说明理由。</w:t>
      </w:r>
    </w:p>
    <w:p w14:paraId="69675D4A">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31</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质疑的提出与接收</w:t>
      </w:r>
    </w:p>
    <w:p w14:paraId="646F6CD2">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31.1投标人认为招标文件、招标过程和中标结果使自己的权益受到损害的，可以在知道或者应知其权益受到损害之日起七个工作日内，以书面形式向采购人或其委托的采购代理机构提出质疑。</w:t>
      </w:r>
    </w:p>
    <w:p w14:paraId="23897188">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27879432">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31.3采购代理机构质疑函接收部门、联系电话和通讯地址，见</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w:t>
      </w:r>
    </w:p>
    <w:p w14:paraId="6076C049">
      <w:pPr>
        <w:widowControl/>
        <w:jc w:val="left"/>
        <w:outlineLvl w:val="9"/>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299AC9E3">
      <w:pPr>
        <w:spacing w:line="360" w:lineRule="auto"/>
        <w:jc w:val="center"/>
        <w:outlineLvl w:val="0"/>
        <w:rPr>
          <w:rFonts w:hint="eastAsia" w:asciiTheme="minorEastAsia" w:hAnsiTheme="minorEastAsia" w:eastAsiaTheme="minorEastAsia"/>
          <w:b/>
          <w:color w:val="auto"/>
          <w:sz w:val="28"/>
          <w:highlight w:val="none"/>
          <w:lang w:eastAsia="zh-CN"/>
        </w:rPr>
      </w:pPr>
      <w:bookmarkStart w:id="6" w:name="_Toc23609"/>
      <w:r>
        <w:rPr>
          <w:rFonts w:hint="eastAsia" w:asciiTheme="minorEastAsia" w:hAnsiTheme="minorEastAsia" w:eastAsiaTheme="minorEastAsia"/>
          <w:b/>
          <w:color w:val="auto"/>
          <w:sz w:val="28"/>
          <w:highlight w:val="none"/>
        </w:rPr>
        <w:t>第三章  采购需求</w:t>
      </w:r>
      <w:bookmarkEnd w:id="6"/>
    </w:p>
    <w:p w14:paraId="63A4CD99">
      <w:pPr>
        <w:spacing w:line="360" w:lineRule="auto"/>
        <w:ind w:firstLine="437"/>
        <w:outlineLvl w:val="9"/>
        <w:rPr>
          <w:rFonts w:ascii="宋体" w:hAnsi="宋体" w:eastAsia="宋体"/>
          <w:b/>
          <w:color w:val="auto"/>
          <w:sz w:val="24"/>
          <w:szCs w:val="18"/>
          <w:highlight w:val="none"/>
        </w:rPr>
      </w:pPr>
      <w:bookmarkStart w:id="7" w:name="_Toc32151"/>
      <w:bookmarkStart w:id="8" w:name="_Toc2554"/>
      <w:r>
        <w:rPr>
          <w:rFonts w:hint="eastAsia" w:ascii="宋体" w:hAnsi="宋体" w:eastAsia="宋体"/>
          <w:b/>
          <w:color w:val="auto"/>
          <w:sz w:val="24"/>
          <w:szCs w:val="18"/>
          <w:highlight w:val="none"/>
        </w:rPr>
        <w:t>一、采购需求前附表</w:t>
      </w:r>
      <w:bookmarkEnd w:id="7"/>
      <w:bookmarkEnd w:id="8"/>
    </w:p>
    <w:tbl>
      <w:tblPr>
        <w:tblStyle w:val="24"/>
        <w:tblW w:w="54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927"/>
        <w:gridCol w:w="6659"/>
      </w:tblGrid>
      <w:tr w14:paraId="2323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05" w:type="pct"/>
            <w:vAlign w:val="center"/>
          </w:tcPr>
          <w:p w14:paraId="4CBF9F89">
            <w:pPr>
              <w:pStyle w:val="34"/>
              <w:pBdr>
                <w:bottom w:val="none" w:color="auto" w:sz="0" w:space="0"/>
              </w:pBdr>
              <w:tabs>
                <w:tab w:val="clear" w:pos="4153"/>
                <w:tab w:val="clear" w:pos="8306"/>
              </w:tabs>
              <w:adjustRightInd/>
              <w:spacing w:line="240" w:lineRule="auto"/>
              <w:outlineLvl w:val="9"/>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031" w:type="pct"/>
            <w:vAlign w:val="center"/>
          </w:tcPr>
          <w:p w14:paraId="636AF9EA">
            <w:pPr>
              <w:pStyle w:val="33"/>
              <w:widowControl w:val="0"/>
              <w:spacing w:before="0" w:beforeAutospacing="0" w:after="0" w:afterAutospacing="0" w:line="360" w:lineRule="auto"/>
              <w:outlineLvl w:val="9"/>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563" w:type="pct"/>
            <w:vAlign w:val="center"/>
          </w:tcPr>
          <w:p w14:paraId="4C5D480E">
            <w:pPr>
              <w:pStyle w:val="33"/>
              <w:widowControl w:val="0"/>
              <w:spacing w:before="0" w:beforeAutospacing="0" w:after="0" w:afterAutospacing="0" w:line="360" w:lineRule="auto"/>
              <w:outlineLvl w:val="9"/>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2EB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05" w:type="pct"/>
            <w:vAlign w:val="center"/>
          </w:tcPr>
          <w:p w14:paraId="39779A86">
            <w:pPr>
              <w:pStyle w:val="3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80" w:lineRule="exact"/>
              <w:outlineLvl w:val="9"/>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031" w:type="pct"/>
            <w:vAlign w:val="center"/>
          </w:tcPr>
          <w:p w14:paraId="335C098B">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outlineLvl w:val="9"/>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563" w:type="pct"/>
            <w:vAlign w:val="center"/>
          </w:tcPr>
          <w:p w14:paraId="3063F019">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jc w:val="both"/>
              <w:outlineLvl w:val="9"/>
              <w:rPr>
                <w:rFonts w:ascii="宋体" w:hAnsi="宋体" w:eastAsia="宋体"/>
                <w:b w:val="0"/>
                <w:color w:val="auto"/>
                <w:sz w:val="24"/>
                <w:highlight w:val="none"/>
                <w:u w:val="none"/>
              </w:rPr>
            </w:pPr>
            <w:r>
              <w:rPr>
                <w:rFonts w:hint="eastAsia" w:ascii="宋体" w:hAnsi="宋体" w:eastAsia="宋体"/>
                <w:b w:val="0"/>
                <w:color w:val="auto"/>
                <w:sz w:val="24"/>
                <w:highlight w:val="none"/>
                <w:u w:val="none"/>
                <w:lang w:val="en-US" w:eastAsia="zh-CN"/>
              </w:rPr>
              <w:t>合同、担保措施生效并具备实施条件后 5 个工作日内采人向中标人支付预付款，预付款为合同价款的 40%【中标人须提交银行、保险公司、担保公司等金融机构出具的预付款保函（保函须使用见索即付型）或其他担保措施】；货物安装调试培训完毕验收合格并正常使用运行后7个工作日内付至合同价款的 100%。</w:t>
            </w:r>
          </w:p>
        </w:tc>
      </w:tr>
      <w:tr w14:paraId="236E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05" w:type="pct"/>
            <w:vAlign w:val="center"/>
          </w:tcPr>
          <w:p w14:paraId="412A007E">
            <w:pPr>
              <w:pStyle w:val="3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80" w:lineRule="exact"/>
              <w:outlineLvl w:val="9"/>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031" w:type="pct"/>
            <w:vAlign w:val="center"/>
          </w:tcPr>
          <w:p w14:paraId="52807048">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outlineLvl w:val="9"/>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563" w:type="pct"/>
            <w:vAlign w:val="center"/>
          </w:tcPr>
          <w:p w14:paraId="74B1AC6C">
            <w:pPr>
              <w:keepNext w:val="0"/>
              <w:keepLines w:val="0"/>
              <w:widowControl w:val="0"/>
              <w:suppressLineNumbers w:val="0"/>
              <w:spacing w:before="0" w:beforeAutospacing="0" w:after="0" w:afterAutospacing="0" w:line="360" w:lineRule="auto"/>
              <w:ind w:right="0"/>
              <w:jc w:val="left"/>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滁州市机电工程学校，采购人指定地点。</w:t>
            </w:r>
          </w:p>
        </w:tc>
      </w:tr>
      <w:tr w14:paraId="78CB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05" w:type="pct"/>
            <w:vAlign w:val="center"/>
          </w:tcPr>
          <w:p w14:paraId="42861F15">
            <w:pPr>
              <w:pStyle w:val="3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80" w:lineRule="exact"/>
              <w:outlineLvl w:val="9"/>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031" w:type="pct"/>
            <w:vAlign w:val="center"/>
          </w:tcPr>
          <w:p w14:paraId="3E6A8592">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outlineLvl w:val="9"/>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563" w:type="pct"/>
            <w:vAlign w:val="center"/>
          </w:tcPr>
          <w:p w14:paraId="74851EB7">
            <w:pPr>
              <w:keepNext w:val="0"/>
              <w:keepLines w:val="0"/>
              <w:widowControl w:val="0"/>
              <w:suppressLineNumbers w:val="0"/>
              <w:spacing w:before="0" w:beforeAutospacing="0" w:after="0" w:afterAutospacing="0" w:line="360" w:lineRule="auto"/>
              <w:ind w:right="0"/>
              <w:jc w:val="left"/>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自合同签订之日起10个日历天内完成供货、安装及调试完毕。</w:t>
            </w:r>
          </w:p>
        </w:tc>
      </w:tr>
      <w:tr w14:paraId="2D3E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05" w:type="pct"/>
            <w:vAlign w:val="center"/>
          </w:tcPr>
          <w:p w14:paraId="01963E33">
            <w:pPr>
              <w:pStyle w:val="3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80" w:lineRule="exact"/>
              <w:outlineLvl w:val="9"/>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031" w:type="pct"/>
            <w:vAlign w:val="center"/>
          </w:tcPr>
          <w:p w14:paraId="793E2F8A">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outlineLvl w:val="9"/>
              <w:rPr>
                <w:rFonts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3563" w:type="pct"/>
            <w:vAlign w:val="center"/>
          </w:tcPr>
          <w:p w14:paraId="718D123D">
            <w:pPr>
              <w:keepNext w:val="0"/>
              <w:keepLines w:val="0"/>
              <w:widowControl w:val="0"/>
              <w:suppressLineNumbers w:val="0"/>
              <w:spacing w:before="0" w:beforeAutospacing="0" w:after="0" w:afterAutospacing="0" w:line="360" w:lineRule="auto"/>
              <w:ind w:right="0"/>
              <w:jc w:val="left"/>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叁年</w:t>
            </w:r>
          </w:p>
        </w:tc>
      </w:tr>
    </w:tbl>
    <w:p w14:paraId="54C118F6">
      <w:pPr>
        <w:spacing w:line="360" w:lineRule="auto"/>
        <w:ind w:firstLine="437"/>
        <w:outlineLvl w:val="9"/>
        <w:rPr>
          <w:rFonts w:ascii="宋体" w:hAnsi="宋体" w:eastAsia="宋体"/>
          <w:b/>
          <w:bCs/>
          <w:color w:val="auto"/>
          <w:sz w:val="24"/>
          <w:szCs w:val="18"/>
          <w:highlight w:val="none"/>
        </w:rPr>
      </w:pPr>
      <w:bookmarkStart w:id="9" w:name="_Toc7671"/>
      <w:bookmarkStart w:id="10" w:name="_Toc5944"/>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9"/>
      <w:bookmarkEnd w:id="10"/>
    </w:p>
    <w:tbl>
      <w:tblPr>
        <w:tblStyle w:val="24"/>
        <w:tblW w:w="56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064"/>
        <w:gridCol w:w="6195"/>
        <w:gridCol w:w="795"/>
        <w:gridCol w:w="714"/>
      </w:tblGrid>
      <w:tr w14:paraId="0C57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14:paraId="7835AE75">
            <w:pPr>
              <w:spacing w:line="360" w:lineRule="auto"/>
              <w:jc w:val="center"/>
              <w:outlineLvl w:val="9"/>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序号</w:t>
            </w:r>
          </w:p>
        </w:tc>
        <w:tc>
          <w:tcPr>
            <w:tcW w:w="556" w:type="pct"/>
            <w:vAlign w:val="center"/>
          </w:tcPr>
          <w:p w14:paraId="201678CB">
            <w:pPr>
              <w:spacing w:line="360" w:lineRule="auto"/>
              <w:jc w:val="center"/>
              <w:outlineLvl w:val="9"/>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货物</w:t>
            </w:r>
          </w:p>
          <w:p w14:paraId="20247BD4">
            <w:pPr>
              <w:spacing w:line="360" w:lineRule="auto"/>
              <w:jc w:val="center"/>
              <w:outlineLvl w:val="9"/>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名称</w:t>
            </w:r>
          </w:p>
        </w:tc>
        <w:tc>
          <w:tcPr>
            <w:tcW w:w="3239" w:type="pct"/>
            <w:vAlign w:val="center"/>
          </w:tcPr>
          <w:p w14:paraId="1246DB69">
            <w:pPr>
              <w:spacing w:line="360" w:lineRule="auto"/>
              <w:jc w:val="center"/>
              <w:outlineLvl w:val="9"/>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技术参数及要求</w:t>
            </w:r>
          </w:p>
        </w:tc>
        <w:tc>
          <w:tcPr>
            <w:tcW w:w="415" w:type="pct"/>
            <w:vAlign w:val="center"/>
          </w:tcPr>
          <w:p w14:paraId="5DF3F188">
            <w:pPr>
              <w:spacing w:line="360" w:lineRule="auto"/>
              <w:jc w:val="center"/>
              <w:outlineLvl w:val="9"/>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数量</w:t>
            </w:r>
          </w:p>
        </w:tc>
        <w:tc>
          <w:tcPr>
            <w:tcW w:w="373" w:type="pct"/>
            <w:vAlign w:val="center"/>
          </w:tcPr>
          <w:p w14:paraId="1E1D2D4C">
            <w:pPr>
              <w:spacing w:line="360" w:lineRule="auto"/>
              <w:jc w:val="center"/>
              <w:outlineLvl w:val="9"/>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单位</w:t>
            </w:r>
          </w:p>
        </w:tc>
      </w:tr>
      <w:tr w14:paraId="447C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15" w:type="pct"/>
            <w:vAlign w:val="center"/>
          </w:tcPr>
          <w:p w14:paraId="186E181D">
            <w:pPr>
              <w:keepNext w:val="0"/>
              <w:keepLines w:val="0"/>
              <w:pageBreakBefore w:val="0"/>
              <w:widowControl w:val="0"/>
              <w:kinsoku/>
              <w:wordWrap/>
              <w:overflowPunct/>
              <w:topLinePunct w:val="0"/>
              <w:autoSpaceDE/>
              <w:autoSpaceDN/>
              <w:bidi w:val="0"/>
              <w:adjustRightInd/>
              <w:snapToGrid/>
              <w:spacing w:line="38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556" w:type="pct"/>
            <w:vAlign w:val="center"/>
          </w:tcPr>
          <w:p w14:paraId="75CFFDF1">
            <w:pPr>
              <w:spacing w:line="360" w:lineRule="auto"/>
              <w:outlineLvl w:val="9"/>
              <w:rPr>
                <w:rFonts w:hint="eastAsia" w:ascii="宋体" w:hAnsi="宋体" w:eastAsia="宋体" w:cs="宋体"/>
                <w:bCs/>
                <w:color w:val="auto"/>
                <w:sz w:val="28"/>
                <w:szCs w:val="28"/>
                <w:highlight w:val="none"/>
              </w:rPr>
            </w:pPr>
            <w:r>
              <w:rPr>
                <w:rFonts w:hint="eastAsia" w:asciiTheme="minorEastAsia" w:hAnsiTheme="minorEastAsia" w:eastAsiaTheme="minorEastAsia"/>
                <w:color w:val="auto"/>
                <w:sz w:val="24"/>
                <w:highlight w:val="none"/>
              </w:rPr>
              <w:t>工作站电脑</w:t>
            </w:r>
          </w:p>
        </w:tc>
        <w:tc>
          <w:tcPr>
            <w:tcW w:w="3239" w:type="pct"/>
            <w:vAlign w:val="center"/>
          </w:tcPr>
          <w:p w14:paraId="6661EAA1">
            <w:pPr>
              <w:spacing w:line="360" w:lineRule="auto"/>
              <w:jc w:val="left"/>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类别：商用工作站产品，在官网或产品认证中投标机型为工作站产品</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须提供在官网或产品认证证明材料</w:t>
            </w:r>
            <w:r>
              <w:rPr>
                <w:rFonts w:hint="eastAsia" w:asciiTheme="minorEastAsia" w:hAnsiTheme="minorEastAsia" w:eastAsiaTheme="minorEastAsia"/>
                <w:b/>
                <w:bCs/>
                <w:color w:val="auto"/>
                <w:sz w:val="24"/>
                <w:highlight w:val="none"/>
                <w:lang w:eastAsia="zh-CN"/>
              </w:rPr>
              <w:t>）</w:t>
            </w:r>
          </w:p>
          <w:p w14:paraId="7C251770">
            <w:pPr>
              <w:spacing w:line="360" w:lineRule="auto"/>
              <w:jc w:val="left"/>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处理器：≥I9-14900，核心数≥24，性能核主频≥2.1GHz,性能核心睿频≥5.4GHz，线程数≥32，三级缓存≥36MB；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.内存：≥64GB DDR5-5600内存,提供四个内存插槽位，方便扩展；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.硬盘：≥2TB M.2接口NVME协议SSD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.显卡：≥RTX5070 12GB独立显卡；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.显示屏：≥27寸4K超高清显示器；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.网卡：2500M以太网卡；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.音频设备：集成声卡，支持5.1声道，音频接口≥5个；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.端口：≥9个USB 3.2接口(前置至少1个TYPE-C接口)，主板集成至少1个VGA接口，1个HDMI接口，1个DP接口，1个RJ45网口； </w:t>
            </w:r>
          </w:p>
          <w:p w14:paraId="22EE8EE5">
            <w:pPr>
              <w:spacing w:line="360" w:lineRule="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.插槽：≥4个PCIe插槽(至少2个PCIe x16插槽)</w:t>
            </w:r>
          </w:p>
          <w:p w14:paraId="18629430">
            <w:pPr>
              <w:spacing w:line="360" w:lineRule="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.键鼠：防水抗菌键盘、USB光电鼠标；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.电源：≥750W 92%能源转化电源；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13</w:t>
            </w:r>
            <w:r>
              <w:rPr>
                <w:rFonts w:hint="eastAsia" w:asciiTheme="minorEastAsia" w:hAnsiTheme="minorEastAsia" w:eastAsiaTheme="minorEastAsia"/>
                <w:color w:val="auto"/>
                <w:sz w:val="24"/>
                <w:highlight w:val="none"/>
              </w:rPr>
              <w:t>.机箱：塔式标准机箱≥17L；</w:t>
            </w:r>
          </w:p>
          <w:p w14:paraId="22A32E19">
            <w:pPr>
              <w:spacing w:line="360" w:lineRule="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.安全：BIOS级别USB端口单独开关，智能USB数据保护(可设置仅识别鼠标键盘，不识别USB存储设备)；</w:t>
            </w:r>
          </w:p>
          <w:p w14:paraId="30F39CDD">
            <w:pPr>
              <w:spacing w:line="360" w:lineRule="auto"/>
              <w:outlineLvl w:val="9"/>
              <w:rPr>
                <w:rFonts w:hint="eastAsia" w:ascii="宋体" w:hAnsi="宋体" w:cs="宋体" w:eastAsiaTheme="minorEastAsia"/>
                <w:bCs/>
                <w:color w:val="auto"/>
                <w:sz w:val="28"/>
                <w:szCs w:val="28"/>
                <w:highlight w:val="none"/>
                <w:lang w:eastAsia="zh-CN"/>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val="en-US" w:eastAsia="zh-CN"/>
              </w:rPr>
              <w:t>所投产品的制造商</w:t>
            </w:r>
            <w:r>
              <w:rPr>
                <w:rFonts w:hint="eastAsia" w:asciiTheme="minorEastAsia" w:hAnsiTheme="minorEastAsia" w:eastAsiaTheme="minorEastAsia"/>
                <w:color w:val="auto"/>
                <w:sz w:val="24"/>
                <w:highlight w:val="none"/>
              </w:rPr>
              <w:t>需提供闪修及数据拯救服务；闪修</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当日下午4点前报修，下一自然日24点前修复，若没有完成修复，则为客户免费赠送延迟日数对应的月度延保服务；数据拯救服务：3年之内，面向HDD/SSD，针对其软件原因或硬件原因导致数据丢失的情况，提供1次免费的尝试性故障硬盘（单盘）数据拯救服务，若未恢复则不计次数（官网可查）</w:t>
            </w:r>
            <w:r>
              <w:rPr>
                <w:rFonts w:hint="eastAsia" w:asciiTheme="minorEastAsia" w:hAnsiTheme="minorEastAsia" w:eastAsiaTheme="minorEastAsia"/>
                <w:color w:val="auto"/>
                <w:sz w:val="24"/>
                <w:highlight w:val="none"/>
                <w:lang w:eastAsia="zh-CN"/>
              </w:rPr>
              <w:t>。</w:t>
            </w:r>
          </w:p>
        </w:tc>
        <w:tc>
          <w:tcPr>
            <w:tcW w:w="415" w:type="pct"/>
            <w:vAlign w:val="center"/>
          </w:tcPr>
          <w:p w14:paraId="38C703E5">
            <w:pPr>
              <w:spacing w:line="360" w:lineRule="auto"/>
              <w:jc w:val="center"/>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p>
        </w:tc>
        <w:tc>
          <w:tcPr>
            <w:tcW w:w="373" w:type="pct"/>
            <w:vAlign w:val="center"/>
          </w:tcPr>
          <w:p w14:paraId="75156210">
            <w:pPr>
              <w:spacing w:line="360" w:lineRule="auto"/>
              <w:jc w:val="center"/>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套</w:t>
            </w:r>
          </w:p>
        </w:tc>
      </w:tr>
    </w:tbl>
    <w:p w14:paraId="52A7860D">
      <w:pPr>
        <w:spacing w:line="360" w:lineRule="auto"/>
        <w:ind w:firstLine="437"/>
        <w:outlineLvl w:val="9"/>
        <w:rPr>
          <w:rFonts w:ascii="宋体" w:hAnsi="宋体" w:eastAsia="宋体"/>
          <w:bCs/>
          <w:color w:val="auto"/>
          <w:sz w:val="24"/>
          <w:szCs w:val="18"/>
          <w:highlight w:val="none"/>
        </w:rPr>
      </w:pPr>
    </w:p>
    <w:p w14:paraId="31BFF0CD">
      <w:pPr>
        <w:pStyle w:val="30"/>
        <w:outlineLvl w:val="9"/>
        <w:rPr>
          <w:rFonts w:ascii="宋体" w:hAnsi="宋体" w:eastAsia="宋体"/>
          <w:bCs/>
          <w:color w:val="auto"/>
          <w:sz w:val="24"/>
          <w:szCs w:val="18"/>
          <w:highlight w:val="none"/>
        </w:rPr>
      </w:pPr>
    </w:p>
    <w:p w14:paraId="49F47593">
      <w:pPr>
        <w:pStyle w:val="30"/>
        <w:outlineLvl w:val="9"/>
        <w:rPr>
          <w:rFonts w:ascii="宋体" w:hAnsi="宋体" w:eastAsia="宋体"/>
          <w:bCs/>
          <w:color w:val="auto"/>
          <w:sz w:val="24"/>
          <w:szCs w:val="18"/>
          <w:highlight w:val="none"/>
        </w:rPr>
      </w:pPr>
    </w:p>
    <w:p w14:paraId="4C1359B7">
      <w:pPr>
        <w:pStyle w:val="30"/>
        <w:outlineLvl w:val="9"/>
        <w:rPr>
          <w:rFonts w:ascii="宋体" w:hAnsi="宋体" w:eastAsia="宋体"/>
          <w:bCs/>
          <w:color w:val="auto"/>
          <w:sz w:val="24"/>
          <w:szCs w:val="18"/>
          <w:highlight w:val="none"/>
        </w:rPr>
      </w:pPr>
    </w:p>
    <w:p w14:paraId="310BDFA9">
      <w:pPr>
        <w:pStyle w:val="30"/>
        <w:outlineLvl w:val="9"/>
        <w:rPr>
          <w:rFonts w:ascii="宋体" w:hAnsi="宋体" w:eastAsia="宋体"/>
          <w:bCs/>
          <w:color w:val="auto"/>
          <w:sz w:val="24"/>
          <w:szCs w:val="18"/>
          <w:highlight w:val="none"/>
        </w:rPr>
      </w:pPr>
    </w:p>
    <w:p w14:paraId="654B526C">
      <w:pPr>
        <w:pStyle w:val="30"/>
        <w:outlineLvl w:val="9"/>
        <w:rPr>
          <w:rFonts w:ascii="宋体" w:hAnsi="宋体" w:eastAsia="宋体"/>
          <w:bCs/>
          <w:color w:val="auto"/>
          <w:sz w:val="24"/>
          <w:szCs w:val="18"/>
          <w:highlight w:val="none"/>
        </w:rPr>
      </w:pPr>
    </w:p>
    <w:p w14:paraId="1F7B9939">
      <w:pPr>
        <w:pStyle w:val="30"/>
        <w:outlineLvl w:val="9"/>
        <w:rPr>
          <w:rFonts w:ascii="宋体" w:hAnsi="宋体" w:eastAsia="宋体"/>
          <w:bCs/>
          <w:color w:val="auto"/>
          <w:sz w:val="24"/>
          <w:szCs w:val="18"/>
          <w:highlight w:val="none"/>
        </w:rPr>
      </w:pPr>
    </w:p>
    <w:p w14:paraId="2006E13D">
      <w:pPr>
        <w:pStyle w:val="30"/>
        <w:outlineLvl w:val="9"/>
        <w:rPr>
          <w:rFonts w:ascii="宋体" w:hAnsi="宋体" w:eastAsia="宋体"/>
          <w:bCs/>
          <w:color w:val="auto"/>
          <w:sz w:val="24"/>
          <w:szCs w:val="18"/>
          <w:highlight w:val="none"/>
        </w:rPr>
      </w:pPr>
    </w:p>
    <w:p w14:paraId="3A3E4977">
      <w:pPr>
        <w:pStyle w:val="30"/>
        <w:outlineLvl w:val="9"/>
        <w:rPr>
          <w:rFonts w:ascii="宋体" w:hAnsi="宋体" w:eastAsia="宋体"/>
          <w:bCs/>
          <w:color w:val="auto"/>
          <w:sz w:val="24"/>
          <w:szCs w:val="18"/>
          <w:highlight w:val="none"/>
        </w:rPr>
      </w:pPr>
    </w:p>
    <w:p w14:paraId="56B9B749">
      <w:pPr>
        <w:pStyle w:val="30"/>
        <w:outlineLvl w:val="9"/>
        <w:rPr>
          <w:rFonts w:ascii="宋体" w:hAnsi="宋体" w:eastAsia="宋体"/>
          <w:bCs/>
          <w:color w:val="auto"/>
          <w:sz w:val="24"/>
          <w:szCs w:val="18"/>
          <w:highlight w:val="none"/>
        </w:rPr>
      </w:pPr>
    </w:p>
    <w:p w14:paraId="77D8E683">
      <w:pPr>
        <w:pStyle w:val="30"/>
        <w:outlineLvl w:val="9"/>
        <w:rPr>
          <w:rFonts w:ascii="宋体" w:hAnsi="宋体" w:eastAsia="宋体"/>
          <w:bCs/>
          <w:color w:val="auto"/>
          <w:sz w:val="24"/>
          <w:szCs w:val="18"/>
          <w:highlight w:val="none"/>
        </w:rPr>
      </w:pPr>
    </w:p>
    <w:p w14:paraId="3E03480C">
      <w:pPr>
        <w:pStyle w:val="30"/>
        <w:outlineLvl w:val="9"/>
        <w:rPr>
          <w:rFonts w:ascii="宋体" w:hAnsi="宋体" w:eastAsia="宋体"/>
          <w:bCs/>
          <w:color w:val="auto"/>
          <w:sz w:val="24"/>
          <w:szCs w:val="18"/>
          <w:highlight w:val="none"/>
        </w:rPr>
      </w:pPr>
    </w:p>
    <w:p w14:paraId="05BF0C11">
      <w:pPr>
        <w:pStyle w:val="30"/>
        <w:outlineLvl w:val="9"/>
        <w:rPr>
          <w:rFonts w:ascii="宋体" w:hAnsi="宋体" w:eastAsia="宋体"/>
          <w:bCs/>
          <w:color w:val="auto"/>
          <w:sz w:val="24"/>
          <w:szCs w:val="18"/>
          <w:highlight w:val="none"/>
        </w:rPr>
      </w:pPr>
    </w:p>
    <w:p w14:paraId="33B7DA97">
      <w:pPr>
        <w:pStyle w:val="30"/>
        <w:outlineLvl w:val="9"/>
        <w:rPr>
          <w:rFonts w:ascii="宋体" w:hAnsi="宋体" w:eastAsia="宋体"/>
          <w:bCs/>
          <w:color w:val="auto"/>
          <w:sz w:val="24"/>
          <w:szCs w:val="18"/>
          <w:highlight w:val="none"/>
        </w:rPr>
      </w:pPr>
    </w:p>
    <w:p w14:paraId="39CBFED0">
      <w:pPr>
        <w:pStyle w:val="30"/>
        <w:outlineLvl w:val="9"/>
        <w:rPr>
          <w:rFonts w:ascii="宋体" w:hAnsi="宋体" w:eastAsia="宋体"/>
          <w:bCs/>
          <w:color w:val="auto"/>
          <w:sz w:val="24"/>
          <w:szCs w:val="18"/>
          <w:highlight w:val="none"/>
        </w:rPr>
      </w:pPr>
    </w:p>
    <w:p w14:paraId="24004718">
      <w:pPr>
        <w:pStyle w:val="30"/>
        <w:outlineLvl w:val="9"/>
        <w:rPr>
          <w:rFonts w:ascii="宋体" w:hAnsi="宋体" w:eastAsia="宋体"/>
          <w:bCs/>
          <w:color w:val="auto"/>
          <w:sz w:val="24"/>
          <w:szCs w:val="18"/>
          <w:highlight w:val="none"/>
        </w:rPr>
      </w:pPr>
    </w:p>
    <w:p w14:paraId="3CAD941D">
      <w:pPr>
        <w:pStyle w:val="30"/>
        <w:outlineLvl w:val="9"/>
        <w:rPr>
          <w:rFonts w:ascii="宋体" w:hAnsi="宋体" w:eastAsia="宋体"/>
          <w:bCs/>
          <w:color w:val="auto"/>
          <w:sz w:val="24"/>
          <w:szCs w:val="18"/>
          <w:highlight w:val="none"/>
        </w:rPr>
      </w:pPr>
    </w:p>
    <w:p w14:paraId="7E38179B">
      <w:pPr>
        <w:pStyle w:val="30"/>
        <w:outlineLvl w:val="9"/>
        <w:rPr>
          <w:rFonts w:ascii="宋体" w:hAnsi="宋体" w:eastAsia="宋体"/>
          <w:bCs/>
          <w:color w:val="auto"/>
          <w:sz w:val="24"/>
          <w:szCs w:val="18"/>
          <w:highlight w:val="none"/>
        </w:rPr>
      </w:pPr>
    </w:p>
    <w:p w14:paraId="53FC0B0A">
      <w:pPr>
        <w:pStyle w:val="30"/>
        <w:outlineLvl w:val="9"/>
        <w:rPr>
          <w:rFonts w:ascii="宋体" w:hAnsi="宋体" w:eastAsia="宋体"/>
          <w:bCs/>
          <w:color w:val="auto"/>
          <w:sz w:val="24"/>
          <w:szCs w:val="18"/>
          <w:highlight w:val="none"/>
        </w:rPr>
      </w:pPr>
    </w:p>
    <w:p w14:paraId="3C422ECF">
      <w:pPr>
        <w:pStyle w:val="30"/>
        <w:outlineLvl w:val="9"/>
        <w:rPr>
          <w:rFonts w:ascii="宋体" w:hAnsi="宋体" w:eastAsia="宋体"/>
          <w:bCs/>
          <w:color w:val="auto"/>
          <w:sz w:val="24"/>
          <w:szCs w:val="18"/>
          <w:highlight w:val="none"/>
        </w:rPr>
      </w:pPr>
    </w:p>
    <w:p w14:paraId="5D5770DE">
      <w:pPr>
        <w:pStyle w:val="30"/>
        <w:outlineLvl w:val="9"/>
        <w:rPr>
          <w:rFonts w:ascii="宋体" w:hAnsi="宋体" w:eastAsia="宋体"/>
          <w:bCs/>
          <w:color w:val="auto"/>
          <w:sz w:val="24"/>
          <w:szCs w:val="18"/>
          <w:highlight w:val="none"/>
        </w:rPr>
      </w:pPr>
    </w:p>
    <w:p w14:paraId="512DA5B7">
      <w:pPr>
        <w:pStyle w:val="30"/>
        <w:outlineLvl w:val="9"/>
        <w:rPr>
          <w:rFonts w:ascii="宋体" w:hAnsi="宋体" w:eastAsia="宋体"/>
          <w:bCs/>
          <w:color w:val="auto"/>
          <w:sz w:val="24"/>
          <w:szCs w:val="18"/>
          <w:highlight w:val="none"/>
        </w:rPr>
      </w:pPr>
    </w:p>
    <w:p w14:paraId="55BF1603">
      <w:pPr>
        <w:pStyle w:val="30"/>
        <w:outlineLvl w:val="9"/>
        <w:rPr>
          <w:rFonts w:ascii="宋体" w:hAnsi="宋体" w:eastAsia="宋体"/>
          <w:bCs/>
          <w:color w:val="auto"/>
          <w:sz w:val="24"/>
          <w:szCs w:val="18"/>
          <w:highlight w:val="none"/>
        </w:rPr>
      </w:pPr>
    </w:p>
    <w:p w14:paraId="22F00AA6">
      <w:pPr>
        <w:pStyle w:val="30"/>
        <w:outlineLvl w:val="9"/>
        <w:rPr>
          <w:rFonts w:ascii="宋体" w:hAnsi="宋体" w:eastAsia="宋体"/>
          <w:bCs/>
          <w:color w:val="auto"/>
          <w:sz w:val="24"/>
          <w:szCs w:val="18"/>
          <w:highlight w:val="none"/>
        </w:rPr>
      </w:pPr>
    </w:p>
    <w:p w14:paraId="45AF8EBD">
      <w:pPr>
        <w:spacing w:line="360" w:lineRule="auto"/>
        <w:jc w:val="center"/>
        <w:outlineLvl w:val="0"/>
        <w:rPr>
          <w:rFonts w:asciiTheme="minorEastAsia" w:hAnsiTheme="minorEastAsia" w:eastAsiaTheme="minorEastAsia"/>
          <w:b/>
          <w:color w:val="auto"/>
          <w:sz w:val="28"/>
          <w:highlight w:val="none"/>
        </w:rPr>
      </w:pPr>
      <w:bookmarkStart w:id="11" w:name="_Toc4269"/>
      <w:r>
        <w:rPr>
          <w:rFonts w:hint="eastAsia" w:asciiTheme="minorEastAsia" w:hAnsiTheme="minorEastAsia" w:eastAsiaTheme="minorEastAsia"/>
          <w:b/>
          <w:color w:val="auto"/>
          <w:sz w:val="28"/>
          <w:highlight w:val="none"/>
        </w:rPr>
        <w:t>第四章  评标方法和标准（综合评分法）</w:t>
      </w:r>
      <w:bookmarkEnd w:id="11"/>
    </w:p>
    <w:p w14:paraId="793F6ACB">
      <w:pPr>
        <w:spacing w:line="360" w:lineRule="auto"/>
        <w:ind w:firstLine="437"/>
        <w:outlineLvl w:val="9"/>
        <w:rPr>
          <w:rFonts w:asciiTheme="minorEastAsia" w:hAnsiTheme="minorEastAsia" w:eastAsiaTheme="minorEastAsia"/>
          <w:b/>
          <w:color w:val="auto"/>
          <w:sz w:val="24"/>
          <w:highlight w:val="none"/>
        </w:rPr>
      </w:pPr>
      <w:bookmarkStart w:id="12" w:name="_Toc1246"/>
      <w:bookmarkStart w:id="13" w:name="_Toc11823"/>
      <w:r>
        <w:rPr>
          <w:rFonts w:hint="eastAsia" w:asciiTheme="minorEastAsia" w:hAnsiTheme="minorEastAsia" w:eastAsiaTheme="minorEastAsia"/>
          <w:b/>
          <w:color w:val="auto"/>
          <w:sz w:val="24"/>
          <w:highlight w:val="none"/>
        </w:rPr>
        <w:t>一、总则</w:t>
      </w:r>
      <w:bookmarkEnd w:id="12"/>
      <w:bookmarkEnd w:id="13"/>
    </w:p>
    <w:p w14:paraId="7C0FDF33">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165894C4">
      <w:pPr>
        <w:spacing w:line="360" w:lineRule="auto"/>
        <w:ind w:firstLine="437"/>
        <w:outlineLvl w:val="9"/>
        <w:rPr>
          <w:rFonts w:asciiTheme="minorEastAsia" w:hAnsiTheme="minorEastAsia" w:eastAsiaTheme="minorEastAsia"/>
          <w:b/>
          <w:color w:val="auto"/>
          <w:sz w:val="24"/>
          <w:highlight w:val="none"/>
        </w:rPr>
      </w:pPr>
      <w:bookmarkStart w:id="14" w:name="_Toc13117"/>
      <w:bookmarkStart w:id="15" w:name="_Toc31871"/>
      <w:r>
        <w:rPr>
          <w:rFonts w:hint="eastAsia" w:asciiTheme="minorEastAsia" w:hAnsiTheme="minorEastAsia" w:eastAsiaTheme="minorEastAsia"/>
          <w:b/>
          <w:color w:val="auto"/>
          <w:sz w:val="24"/>
          <w:highlight w:val="none"/>
        </w:rPr>
        <w:t>二、评标方法</w:t>
      </w:r>
      <w:bookmarkEnd w:id="14"/>
      <w:bookmarkEnd w:id="15"/>
    </w:p>
    <w:p w14:paraId="27BD4193">
      <w:pPr>
        <w:spacing w:line="360" w:lineRule="auto"/>
        <w:ind w:firstLine="437"/>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4"/>
        <w:tblW w:w="54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602"/>
        <w:gridCol w:w="5196"/>
        <w:gridCol w:w="1679"/>
      </w:tblGrid>
      <w:tr w14:paraId="29B3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4C16D55">
            <w:pPr>
              <w:adjustRightInd w:val="0"/>
              <w:snapToGrid w:val="0"/>
              <w:spacing w:line="360" w:lineRule="auto"/>
              <w:ind w:right="-10"/>
              <w:jc w:val="center"/>
              <w:outlineLvl w:val="9"/>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5D49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Borders>
              <w:bottom w:val="single" w:color="auto" w:sz="4" w:space="0"/>
            </w:tcBorders>
            <w:vAlign w:val="center"/>
          </w:tcPr>
          <w:p w14:paraId="78C2A551">
            <w:pPr>
              <w:adjustRightInd w:val="0"/>
              <w:snapToGrid w:val="0"/>
              <w:spacing w:line="360" w:lineRule="auto"/>
              <w:ind w:right="-10"/>
              <w:jc w:val="center"/>
              <w:outlineLvl w:val="9"/>
              <w:rPr>
                <w:rFonts w:ascii="宋体" w:hAnsi="宋体" w:eastAsia="宋体"/>
                <w:color w:val="auto"/>
                <w:sz w:val="24"/>
                <w:highlight w:val="none"/>
              </w:rPr>
            </w:pPr>
            <w:r>
              <w:rPr>
                <w:rFonts w:hint="eastAsia" w:ascii="宋体" w:hAnsi="宋体" w:eastAsia="宋体"/>
                <w:color w:val="auto"/>
                <w:sz w:val="24"/>
                <w:highlight w:val="none"/>
              </w:rPr>
              <w:t>序号</w:t>
            </w:r>
          </w:p>
        </w:tc>
        <w:tc>
          <w:tcPr>
            <w:tcW w:w="863" w:type="pct"/>
            <w:tcBorders>
              <w:bottom w:val="single" w:color="auto" w:sz="4" w:space="0"/>
            </w:tcBorders>
            <w:vAlign w:val="center"/>
          </w:tcPr>
          <w:p w14:paraId="32E09E35">
            <w:pPr>
              <w:pStyle w:val="34"/>
              <w:pBdr>
                <w:bottom w:val="none" w:color="auto" w:sz="0" w:space="0"/>
              </w:pBdr>
              <w:tabs>
                <w:tab w:val="clear" w:pos="4153"/>
                <w:tab w:val="clear" w:pos="8306"/>
              </w:tabs>
              <w:snapToGrid w:val="0"/>
              <w:spacing w:line="360" w:lineRule="auto"/>
              <w:ind w:right="-10"/>
              <w:outlineLvl w:val="9"/>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2800" w:type="pct"/>
            <w:tcBorders>
              <w:bottom w:val="single" w:color="auto" w:sz="4" w:space="0"/>
            </w:tcBorders>
            <w:vAlign w:val="center"/>
          </w:tcPr>
          <w:p w14:paraId="560D7823">
            <w:pPr>
              <w:adjustRightInd w:val="0"/>
              <w:snapToGrid w:val="0"/>
              <w:spacing w:line="360" w:lineRule="auto"/>
              <w:ind w:right="-10"/>
              <w:jc w:val="center"/>
              <w:outlineLvl w:val="9"/>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审查内容</w:t>
            </w:r>
          </w:p>
        </w:tc>
        <w:tc>
          <w:tcPr>
            <w:tcW w:w="903" w:type="pct"/>
            <w:tcBorders>
              <w:bottom w:val="single" w:color="auto" w:sz="4" w:space="0"/>
            </w:tcBorders>
            <w:vAlign w:val="center"/>
          </w:tcPr>
          <w:p w14:paraId="3105F1EC">
            <w:pPr>
              <w:adjustRightInd w:val="0"/>
              <w:snapToGrid w:val="0"/>
              <w:spacing w:line="360" w:lineRule="auto"/>
              <w:ind w:right="-10"/>
              <w:jc w:val="center"/>
              <w:outlineLvl w:val="9"/>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12A8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432" w:type="pct"/>
            <w:tcBorders>
              <w:bottom w:val="single" w:color="auto" w:sz="4" w:space="0"/>
            </w:tcBorders>
            <w:vAlign w:val="center"/>
          </w:tcPr>
          <w:p w14:paraId="0CCF781A">
            <w:pPr>
              <w:adjustRightInd w:val="0"/>
              <w:snapToGrid w:val="0"/>
              <w:spacing w:line="360" w:lineRule="auto"/>
              <w:ind w:right="-10" w:rightChars="0"/>
              <w:jc w:val="center"/>
              <w:outlineLvl w:val="9"/>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863" w:type="pct"/>
            <w:tcBorders>
              <w:bottom w:val="single" w:color="auto" w:sz="4" w:space="0"/>
            </w:tcBorders>
            <w:vAlign w:val="center"/>
          </w:tcPr>
          <w:p w14:paraId="0551A1FB">
            <w:pPr>
              <w:spacing w:after="50" w:line="360" w:lineRule="auto"/>
              <w:ind w:right="-10" w:rightChars="0"/>
              <w:jc w:val="center"/>
              <w:outlineLvl w:val="9"/>
              <w:rPr>
                <w:rFonts w:ascii="宋体" w:hAnsi="宋体" w:eastAsia="宋体" w:cs="@仿宋_GB2312"/>
                <w:color w:val="auto"/>
                <w:kern w:val="2"/>
                <w:sz w:val="24"/>
                <w:szCs w:val="28"/>
                <w:highlight w:val="none"/>
                <w:lang w:val="en-US" w:eastAsia="zh-CN" w:bidi="ar-SA"/>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800" w:type="pct"/>
            <w:tcBorders>
              <w:bottom w:val="single" w:color="auto" w:sz="4" w:space="0"/>
            </w:tcBorders>
            <w:vAlign w:val="center"/>
          </w:tcPr>
          <w:p w14:paraId="5E8BAC65">
            <w:pPr>
              <w:spacing w:after="50" w:line="360" w:lineRule="auto"/>
              <w:ind w:right="-10" w:rightChars="0"/>
              <w:jc w:val="lef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33615C6E">
            <w:pPr>
              <w:spacing w:after="50" w:line="360" w:lineRule="auto"/>
              <w:ind w:right="-10" w:rightChars="0"/>
              <w:jc w:val="left"/>
              <w:outlineLvl w:val="9"/>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tc>
        <w:tc>
          <w:tcPr>
            <w:tcW w:w="903" w:type="pct"/>
            <w:vAlign w:val="center"/>
          </w:tcPr>
          <w:p w14:paraId="03F7D485">
            <w:pPr>
              <w:spacing w:line="360" w:lineRule="auto"/>
              <w:jc w:val="left"/>
              <w:outlineLvl w:val="9"/>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6499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32" w:type="pct"/>
            <w:tcBorders>
              <w:bottom w:val="single" w:color="auto" w:sz="4" w:space="0"/>
            </w:tcBorders>
            <w:vAlign w:val="center"/>
          </w:tcPr>
          <w:p w14:paraId="7E4449B2">
            <w:pPr>
              <w:adjustRightInd w:val="0"/>
              <w:snapToGrid w:val="0"/>
              <w:spacing w:line="360" w:lineRule="auto"/>
              <w:ind w:right="-10" w:rightChars="0"/>
              <w:jc w:val="center"/>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863" w:type="pct"/>
            <w:tcBorders>
              <w:bottom w:val="single" w:color="auto" w:sz="4" w:space="0"/>
            </w:tcBorders>
            <w:vAlign w:val="center"/>
          </w:tcPr>
          <w:p w14:paraId="5C983F61">
            <w:pPr>
              <w:spacing w:after="50" w:line="360" w:lineRule="auto"/>
              <w:ind w:right="-10" w:rightChars="0"/>
              <w:jc w:val="center"/>
              <w:outlineLvl w:val="9"/>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800" w:type="pct"/>
            <w:tcBorders>
              <w:bottom w:val="single" w:color="auto" w:sz="4" w:space="0"/>
            </w:tcBorders>
            <w:vAlign w:val="center"/>
          </w:tcPr>
          <w:p w14:paraId="5427E299">
            <w:pPr>
              <w:spacing w:after="50" w:line="360" w:lineRule="auto"/>
              <w:ind w:right="-10" w:rightChars="0"/>
              <w:jc w:val="left"/>
              <w:outlineLvl w:val="9"/>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lang w:eastAsia="zh-CN"/>
              </w:rPr>
              <w:t>。</w:t>
            </w:r>
          </w:p>
        </w:tc>
        <w:tc>
          <w:tcPr>
            <w:tcW w:w="903" w:type="pct"/>
            <w:vAlign w:val="center"/>
          </w:tcPr>
          <w:p w14:paraId="225BE4A6">
            <w:pPr>
              <w:spacing w:line="36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06CA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55A9A4B5">
            <w:pPr>
              <w:adjustRightInd w:val="0"/>
              <w:snapToGrid w:val="0"/>
              <w:spacing w:line="360" w:lineRule="auto"/>
              <w:ind w:right="-10"/>
              <w:jc w:val="center"/>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863" w:type="pct"/>
            <w:vAlign w:val="center"/>
          </w:tcPr>
          <w:p w14:paraId="05ACED6A">
            <w:pPr>
              <w:spacing w:after="50" w:line="360" w:lineRule="auto"/>
              <w:ind w:right="-10"/>
              <w:jc w:val="center"/>
              <w:outlineLvl w:val="9"/>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800" w:type="pct"/>
            <w:vAlign w:val="center"/>
          </w:tcPr>
          <w:p w14:paraId="681AE38A">
            <w:pPr>
              <w:spacing w:after="50" w:line="360" w:lineRule="auto"/>
              <w:ind w:right="-10" w:rightChars="0"/>
              <w:jc w:val="left"/>
              <w:outlineLvl w:val="9"/>
              <w:rPr>
                <w:color w:val="auto"/>
                <w:highlight w:val="none"/>
              </w:rPr>
            </w:pPr>
            <w:r>
              <w:rPr>
                <w:rFonts w:hint="eastAsia" w:ascii="宋体" w:hAnsi="宋体" w:eastAsia="宋体" w:cs="宋体"/>
                <w:color w:val="auto"/>
                <w:sz w:val="24"/>
                <w:szCs w:val="24"/>
                <w:highlight w:val="none"/>
                <w:lang w:val="zh-CN" w:eastAsia="zh-CN"/>
              </w:rPr>
              <w:t>投标人不得存在投标人须知正文第1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903" w:type="pct"/>
            <w:vAlign w:val="center"/>
          </w:tcPr>
          <w:p w14:paraId="52B4BB6D">
            <w:pPr>
              <w:spacing w:line="360" w:lineRule="auto"/>
              <w:jc w:val="left"/>
              <w:outlineLvl w:val="9"/>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rPr>
              <w:t>无须投标人</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供，由采购人或采购代理机构查询。</w:t>
            </w:r>
          </w:p>
        </w:tc>
      </w:tr>
      <w:tr w14:paraId="132F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Borders>
              <w:bottom w:val="single" w:color="auto" w:sz="4" w:space="0"/>
            </w:tcBorders>
            <w:vAlign w:val="center"/>
          </w:tcPr>
          <w:p w14:paraId="2D498803">
            <w:pPr>
              <w:keepNext w:val="0"/>
              <w:keepLines w:val="0"/>
              <w:suppressLineNumbers w:val="0"/>
              <w:adjustRightInd w:val="0"/>
              <w:snapToGrid w:val="0"/>
              <w:spacing w:before="0" w:beforeAutospacing="0" w:after="0" w:afterAutospacing="0" w:line="360" w:lineRule="auto"/>
              <w:ind w:left="0" w:leftChars="0" w:right="-10" w:rightChars="0"/>
              <w:jc w:val="center"/>
              <w:outlineLvl w:val="9"/>
              <w:rPr>
                <w:rFonts w:hint="eastAsia" w:ascii="宋体" w:hAnsi="宋体" w:eastAsia="宋体"/>
                <w:color w:val="auto"/>
                <w:sz w:val="24"/>
                <w:highlight w:val="none"/>
                <w:lang w:val="en-US" w:eastAsia="zh-CN"/>
              </w:rPr>
            </w:pPr>
            <w:r>
              <w:rPr>
                <w:rFonts w:hint="eastAsia" w:ascii="宋体" w:hAnsi="宋体" w:eastAsia="宋体"/>
                <w:color w:val="auto"/>
                <w:sz w:val="24"/>
                <w:szCs w:val="20"/>
                <w:highlight w:val="none"/>
                <w:lang w:val="en-US" w:eastAsia="zh-CN"/>
              </w:rPr>
              <w:t>4</w:t>
            </w:r>
          </w:p>
        </w:tc>
        <w:tc>
          <w:tcPr>
            <w:tcW w:w="863" w:type="pct"/>
            <w:tcBorders>
              <w:bottom w:val="single" w:color="auto" w:sz="4" w:space="0"/>
            </w:tcBorders>
            <w:vAlign w:val="center"/>
          </w:tcPr>
          <w:p w14:paraId="53BA5AAF">
            <w:pPr>
              <w:keepNext w:val="0"/>
              <w:keepLines w:val="0"/>
              <w:suppressLineNumbers w:val="0"/>
              <w:spacing w:before="0" w:beforeAutospacing="0" w:after="50" w:afterAutospacing="0" w:line="360" w:lineRule="auto"/>
              <w:ind w:left="0" w:leftChars="0" w:right="-10" w:rightChars="0"/>
              <w:jc w:val="center"/>
              <w:outlineLvl w:val="9"/>
              <w:rPr>
                <w:rFonts w:hint="eastAsia" w:ascii="宋体" w:hAnsi="宋体" w:eastAsia="宋体" w:cs="宋体"/>
                <w:color w:val="auto"/>
                <w:sz w:val="24"/>
                <w:szCs w:val="24"/>
                <w:highlight w:val="none"/>
              </w:rPr>
            </w:pPr>
            <w:r>
              <w:rPr>
                <w:rFonts w:hint="eastAsia" w:ascii="宋体" w:hAnsi="宋体" w:eastAsia="宋体"/>
                <w:color w:val="auto"/>
                <w:sz w:val="24"/>
                <w:szCs w:val="18"/>
                <w:highlight w:val="none"/>
              </w:rPr>
              <w:t>诚信投标承诺书</w:t>
            </w:r>
          </w:p>
        </w:tc>
        <w:tc>
          <w:tcPr>
            <w:tcW w:w="2800" w:type="pct"/>
            <w:tcBorders>
              <w:bottom w:val="single" w:color="auto" w:sz="4" w:space="0"/>
            </w:tcBorders>
            <w:vAlign w:val="center"/>
          </w:tcPr>
          <w:p w14:paraId="2A040809">
            <w:pPr>
              <w:keepNext w:val="0"/>
              <w:keepLines w:val="0"/>
              <w:suppressLineNumbers w:val="0"/>
              <w:spacing w:before="0" w:beforeAutospacing="0" w:after="50" w:afterAutospacing="0" w:line="360" w:lineRule="auto"/>
              <w:ind w:left="0" w:leftChars="0" w:right="-10" w:rightChars="0"/>
              <w:jc w:val="left"/>
              <w:outlineLvl w:val="9"/>
              <w:rPr>
                <w:rFonts w:hint="eastAsia" w:ascii="宋体" w:hAnsi="宋体" w:eastAsia="宋体" w:cs="宋体"/>
                <w:color w:val="auto"/>
                <w:sz w:val="24"/>
                <w:szCs w:val="24"/>
                <w:highlight w:val="none"/>
                <w:lang w:val="zh-CN" w:eastAsia="zh-CN"/>
              </w:rPr>
            </w:pPr>
            <w:r>
              <w:rPr>
                <w:rFonts w:hint="eastAsia" w:ascii="宋体" w:hAnsi="宋体" w:eastAsia="宋体"/>
                <w:color w:val="auto"/>
                <w:sz w:val="24"/>
                <w:szCs w:val="18"/>
                <w:highlight w:val="none"/>
                <w:lang w:val="en-US" w:eastAsia="zh-CN"/>
              </w:rPr>
              <w:t>提</w:t>
            </w:r>
            <w:r>
              <w:rPr>
                <w:rFonts w:hint="default" w:ascii="宋体" w:hAnsi="宋体" w:eastAsia="宋体"/>
                <w:color w:val="auto"/>
                <w:sz w:val="24"/>
                <w:szCs w:val="18"/>
                <w:highlight w:val="none"/>
              </w:rPr>
              <w:t>供符合招标文件要求的《</w:t>
            </w:r>
            <w:r>
              <w:rPr>
                <w:rFonts w:hint="eastAsia" w:ascii="宋体" w:hAnsi="宋体" w:eastAsia="宋体"/>
                <w:color w:val="auto"/>
                <w:sz w:val="24"/>
                <w:szCs w:val="18"/>
                <w:highlight w:val="none"/>
              </w:rPr>
              <w:t>诚信投标承诺书</w:t>
            </w:r>
            <w:r>
              <w:rPr>
                <w:rFonts w:hint="default" w:ascii="宋体" w:hAnsi="宋体" w:eastAsia="宋体"/>
                <w:color w:val="auto"/>
                <w:sz w:val="24"/>
                <w:szCs w:val="18"/>
                <w:highlight w:val="none"/>
              </w:rPr>
              <w:t>》</w:t>
            </w:r>
            <w:r>
              <w:rPr>
                <w:rFonts w:hint="eastAsia" w:ascii="宋体" w:hAnsi="宋体" w:eastAsia="宋体"/>
                <w:color w:val="auto"/>
                <w:sz w:val="24"/>
                <w:szCs w:val="18"/>
                <w:highlight w:val="none"/>
                <w:lang w:eastAsia="zh-CN"/>
              </w:rPr>
              <w:t>。</w:t>
            </w:r>
          </w:p>
        </w:tc>
        <w:tc>
          <w:tcPr>
            <w:tcW w:w="903" w:type="pct"/>
            <w:tcBorders>
              <w:bottom w:val="single" w:color="auto" w:sz="4" w:space="0"/>
            </w:tcBorders>
            <w:vAlign w:val="center"/>
          </w:tcPr>
          <w:p w14:paraId="2566AC2D">
            <w:pPr>
              <w:keepNext w:val="0"/>
              <w:keepLines w:val="0"/>
              <w:suppressLineNumbers w:val="0"/>
              <w:spacing w:before="0" w:beforeAutospacing="0" w:after="50" w:afterAutospacing="0" w:line="360" w:lineRule="auto"/>
              <w:ind w:left="0" w:leftChars="0" w:right="-10" w:rightChars="0"/>
              <w:jc w:val="left"/>
              <w:outlineLvl w:val="9"/>
              <w:rPr>
                <w:rFonts w:hint="eastAsia" w:ascii="宋体" w:hAnsi="宋体" w:eastAsia="宋体" w:cs="宋体"/>
                <w:color w:val="auto"/>
                <w:sz w:val="24"/>
                <w:szCs w:val="24"/>
                <w:highlight w:val="none"/>
              </w:rPr>
            </w:pPr>
            <w:r>
              <w:rPr>
                <w:rFonts w:hint="eastAsia" w:ascii="宋体" w:hAnsi="宋体" w:eastAsia="宋体"/>
                <w:color w:val="auto"/>
                <w:sz w:val="24"/>
                <w:szCs w:val="18"/>
                <w:highlight w:val="none"/>
              </w:rPr>
              <w:t>详见第六章投标文件格式</w:t>
            </w:r>
            <w:r>
              <w:rPr>
                <w:rFonts w:hint="eastAsia" w:ascii="宋体" w:hAnsi="宋体" w:eastAsia="宋体"/>
                <w:color w:val="auto"/>
                <w:sz w:val="24"/>
                <w:szCs w:val="18"/>
                <w:highlight w:val="none"/>
                <w:lang w:eastAsia="zh-CN"/>
              </w:rPr>
              <w:t>。</w:t>
            </w:r>
          </w:p>
        </w:tc>
      </w:tr>
    </w:tbl>
    <w:p w14:paraId="0892EA62">
      <w:pPr>
        <w:spacing w:line="360" w:lineRule="auto"/>
        <w:ind w:firstLine="435"/>
        <w:outlineLvl w:val="9"/>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63CA76C9">
      <w:pPr>
        <w:spacing w:line="360" w:lineRule="auto"/>
        <w:ind w:firstLine="437"/>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047AF458">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4"/>
        <w:tblW w:w="53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158"/>
        <w:gridCol w:w="3607"/>
        <w:gridCol w:w="2522"/>
      </w:tblGrid>
      <w:tr w14:paraId="6958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31432CE8">
            <w:pPr>
              <w:adjustRightInd w:val="0"/>
              <w:snapToGrid w:val="0"/>
              <w:spacing w:line="360" w:lineRule="auto"/>
              <w:ind w:right="-10"/>
              <w:jc w:val="center"/>
              <w:outlineLvl w:val="9"/>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697D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88" w:type="pct"/>
            <w:tcBorders>
              <w:bottom w:val="single" w:color="auto" w:sz="4" w:space="0"/>
            </w:tcBorders>
            <w:vAlign w:val="center"/>
          </w:tcPr>
          <w:p w14:paraId="225FE6AE">
            <w:pPr>
              <w:adjustRightInd w:val="0"/>
              <w:snapToGrid w:val="0"/>
              <w:spacing w:line="360" w:lineRule="auto"/>
              <w:ind w:right="-10"/>
              <w:jc w:val="center"/>
              <w:outlineLvl w:val="9"/>
              <w:rPr>
                <w:rFonts w:ascii="宋体" w:hAnsi="宋体" w:eastAsia="宋体"/>
                <w:color w:val="auto"/>
                <w:sz w:val="24"/>
                <w:highlight w:val="none"/>
              </w:rPr>
            </w:pPr>
            <w:r>
              <w:rPr>
                <w:rFonts w:hint="eastAsia" w:ascii="宋体" w:hAnsi="宋体" w:eastAsia="宋体"/>
                <w:color w:val="auto"/>
                <w:sz w:val="24"/>
                <w:highlight w:val="none"/>
              </w:rPr>
              <w:t>序号</w:t>
            </w:r>
          </w:p>
        </w:tc>
        <w:tc>
          <w:tcPr>
            <w:tcW w:w="1175" w:type="pct"/>
            <w:tcBorders>
              <w:bottom w:val="single" w:color="auto" w:sz="4" w:space="0"/>
            </w:tcBorders>
            <w:vAlign w:val="center"/>
          </w:tcPr>
          <w:p w14:paraId="02510A22">
            <w:pPr>
              <w:pStyle w:val="34"/>
              <w:pBdr>
                <w:bottom w:val="none" w:color="auto" w:sz="0" w:space="0"/>
              </w:pBdr>
              <w:tabs>
                <w:tab w:val="clear" w:pos="4153"/>
                <w:tab w:val="clear" w:pos="8306"/>
              </w:tabs>
              <w:snapToGrid w:val="0"/>
              <w:spacing w:line="360" w:lineRule="auto"/>
              <w:ind w:right="-10"/>
              <w:outlineLvl w:val="9"/>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964" w:type="pct"/>
            <w:tcBorders>
              <w:bottom w:val="single" w:color="auto" w:sz="4" w:space="0"/>
            </w:tcBorders>
            <w:vAlign w:val="center"/>
          </w:tcPr>
          <w:p w14:paraId="47EA890F">
            <w:pPr>
              <w:adjustRightInd w:val="0"/>
              <w:snapToGrid w:val="0"/>
              <w:spacing w:line="360" w:lineRule="auto"/>
              <w:ind w:right="-10"/>
              <w:jc w:val="center"/>
              <w:outlineLvl w:val="9"/>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371" w:type="pct"/>
            <w:tcBorders>
              <w:bottom w:val="single" w:color="auto" w:sz="4" w:space="0"/>
            </w:tcBorders>
            <w:vAlign w:val="center"/>
          </w:tcPr>
          <w:p w14:paraId="6681F58B">
            <w:pPr>
              <w:adjustRightInd w:val="0"/>
              <w:snapToGrid w:val="0"/>
              <w:spacing w:line="360" w:lineRule="auto"/>
              <w:ind w:right="-10"/>
              <w:jc w:val="center"/>
              <w:outlineLvl w:val="9"/>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6F62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50808954">
            <w:pPr>
              <w:adjustRightInd w:val="0"/>
              <w:snapToGrid w:val="0"/>
              <w:spacing w:line="360" w:lineRule="auto"/>
              <w:ind w:right="-10"/>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175" w:type="pct"/>
            <w:vAlign w:val="center"/>
          </w:tcPr>
          <w:p w14:paraId="3DCF4A00">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0"/>
                <w:highlight w:val="none"/>
              </w:rPr>
              <w:t>开标一览表</w:t>
            </w:r>
          </w:p>
        </w:tc>
        <w:tc>
          <w:tcPr>
            <w:tcW w:w="1964" w:type="pct"/>
            <w:vAlign w:val="center"/>
          </w:tcPr>
          <w:p w14:paraId="43ECB741">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371" w:type="pct"/>
            <w:vAlign w:val="center"/>
          </w:tcPr>
          <w:p w14:paraId="736B0879">
            <w:pPr>
              <w:keepNext w:val="0"/>
              <w:keepLines w:val="0"/>
              <w:suppressLineNumbers w:val="0"/>
              <w:adjustRightInd w:val="0"/>
              <w:snapToGrid w:val="0"/>
              <w:spacing w:before="0" w:beforeAutospacing="0" w:after="0" w:afterAutospacing="0" w:line="360" w:lineRule="auto"/>
              <w:ind w:left="0" w:leftChars="0" w:right="-10" w:rightChars="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79D8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25CB01DC">
            <w:pPr>
              <w:adjustRightInd w:val="0"/>
              <w:snapToGrid w:val="0"/>
              <w:spacing w:line="360" w:lineRule="auto"/>
              <w:ind w:right="-10"/>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75" w:type="pct"/>
            <w:vAlign w:val="center"/>
          </w:tcPr>
          <w:p w14:paraId="44E8DCE5">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964" w:type="pct"/>
            <w:vAlign w:val="center"/>
          </w:tcPr>
          <w:p w14:paraId="00A2C935">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371" w:type="pct"/>
            <w:vAlign w:val="center"/>
          </w:tcPr>
          <w:p w14:paraId="5A5F6DB6">
            <w:pPr>
              <w:keepNext w:val="0"/>
              <w:keepLines w:val="0"/>
              <w:suppressLineNumbers w:val="0"/>
              <w:adjustRightInd w:val="0"/>
              <w:snapToGrid w:val="0"/>
              <w:spacing w:before="0" w:beforeAutospacing="0" w:after="0" w:afterAutospacing="0" w:line="360" w:lineRule="auto"/>
              <w:ind w:left="0" w:leftChars="0" w:right="-10" w:rightChars="0"/>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4E80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354C512E">
            <w:pPr>
              <w:adjustRightInd w:val="0"/>
              <w:snapToGrid w:val="0"/>
              <w:spacing w:line="360" w:lineRule="auto"/>
              <w:ind w:right="-10"/>
              <w:jc w:val="center"/>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175" w:type="pct"/>
            <w:vAlign w:val="center"/>
          </w:tcPr>
          <w:p w14:paraId="4BB4DF90">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964" w:type="pct"/>
            <w:vAlign w:val="center"/>
          </w:tcPr>
          <w:p w14:paraId="3E2DC76C">
            <w:pPr>
              <w:keepNext w:val="0"/>
              <w:keepLines w:val="0"/>
              <w:suppressLineNumbers w:val="0"/>
              <w:spacing w:before="0" w:beforeAutospacing="0" w:after="50" w:afterAutospacing="0" w:line="360" w:lineRule="auto"/>
              <w:ind w:left="0" w:leftChars="0" w:right="-10" w:rightChars="0"/>
              <w:jc w:val="left"/>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r>
              <w:rPr>
                <w:rFonts w:hint="eastAsia" w:asciiTheme="minorEastAsia" w:hAnsiTheme="minorEastAsia" w:eastAsiaTheme="minorEastAsia"/>
                <w:color w:val="auto"/>
                <w:sz w:val="24"/>
                <w:szCs w:val="28"/>
                <w:highlight w:val="none"/>
                <w:lang w:eastAsia="zh-CN"/>
              </w:rPr>
              <w:t>；</w:t>
            </w:r>
            <w:r>
              <w:rPr>
                <w:rFonts w:hint="eastAsia" w:asciiTheme="minorEastAsia" w:hAnsiTheme="minorEastAsia" w:eastAsiaTheme="minorEastAsia"/>
                <w:b/>
                <w:bCs/>
                <w:color w:val="auto"/>
                <w:sz w:val="24"/>
                <w:szCs w:val="28"/>
                <w:highlight w:val="none"/>
              </w:rPr>
              <w:t>法定代表人参加开标会议，应携带本人身份证；委托代理人参加开标会议应携带</w:t>
            </w:r>
            <w:r>
              <w:rPr>
                <w:rFonts w:hint="eastAsia" w:asciiTheme="minorEastAsia" w:hAnsiTheme="minorEastAsia" w:eastAsiaTheme="minorEastAsia"/>
                <w:b/>
                <w:bCs/>
                <w:color w:val="auto"/>
                <w:sz w:val="24"/>
                <w:szCs w:val="28"/>
                <w:highlight w:val="none"/>
                <w:lang w:eastAsia="zh-CN"/>
              </w:rPr>
              <w:t>（</w:t>
            </w:r>
            <w:r>
              <w:rPr>
                <w:rFonts w:hint="eastAsia" w:asciiTheme="minorEastAsia" w:hAnsiTheme="minorEastAsia" w:eastAsiaTheme="minorEastAsia"/>
                <w:b/>
                <w:bCs/>
                <w:color w:val="auto"/>
                <w:sz w:val="24"/>
                <w:szCs w:val="28"/>
                <w:highlight w:val="none"/>
                <w:lang w:val="en-US" w:eastAsia="zh-CN"/>
              </w:rPr>
              <w:t>手持或装订在投标文件中</w:t>
            </w:r>
            <w:r>
              <w:rPr>
                <w:rFonts w:hint="eastAsia" w:asciiTheme="minorEastAsia" w:hAnsiTheme="minorEastAsia" w:eastAsiaTheme="minorEastAsia"/>
                <w:b/>
                <w:bCs/>
                <w:color w:val="auto"/>
                <w:sz w:val="24"/>
                <w:szCs w:val="28"/>
                <w:highlight w:val="none"/>
                <w:lang w:eastAsia="zh-CN"/>
              </w:rPr>
              <w:t>）</w:t>
            </w:r>
            <w:r>
              <w:rPr>
                <w:rFonts w:hint="eastAsia" w:asciiTheme="minorEastAsia" w:hAnsiTheme="minorEastAsia" w:eastAsiaTheme="minorEastAsia"/>
                <w:b/>
                <w:bCs/>
                <w:color w:val="auto"/>
                <w:sz w:val="24"/>
                <w:szCs w:val="28"/>
                <w:highlight w:val="none"/>
              </w:rPr>
              <w:t>法定代表人授权书和本人身份证。</w:t>
            </w:r>
          </w:p>
        </w:tc>
        <w:tc>
          <w:tcPr>
            <w:tcW w:w="1371" w:type="pct"/>
            <w:vAlign w:val="center"/>
          </w:tcPr>
          <w:p w14:paraId="4452C05B">
            <w:pPr>
              <w:keepNext w:val="0"/>
              <w:keepLines w:val="0"/>
              <w:suppressLineNumbers w:val="0"/>
              <w:adjustRightInd w:val="0"/>
              <w:snapToGrid w:val="0"/>
              <w:spacing w:before="0" w:beforeAutospacing="0" w:after="0" w:afterAutospacing="0" w:line="360" w:lineRule="auto"/>
              <w:ind w:left="0" w:leftChars="0" w:right="-10" w:rightChars="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21E1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089C1BBF">
            <w:pPr>
              <w:adjustRightInd w:val="0"/>
              <w:snapToGrid w:val="0"/>
              <w:spacing w:line="360" w:lineRule="auto"/>
              <w:ind w:right="-10"/>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75" w:type="pct"/>
            <w:vAlign w:val="center"/>
          </w:tcPr>
          <w:p w14:paraId="159305FB">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964" w:type="pct"/>
            <w:vAlign w:val="center"/>
          </w:tcPr>
          <w:p w14:paraId="664ABA60">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szCs w:val="20"/>
                <w:highlight w:val="none"/>
              </w:rPr>
              <w:t>招标文件投标人须知正文第</w:t>
            </w:r>
            <w:r>
              <w:rPr>
                <w:rFonts w:hint="eastAsia" w:asciiTheme="minorEastAsia" w:hAnsiTheme="minorEastAsia" w:eastAsiaTheme="minorEastAsia"/>
                <w:color w:val="auto"/>
                <w:sz w:val="24"/>
                <w:szCs w:val="20"/>
                <w:highlight w:val="none"/>
                <w:lang w:val="en-US" w:eastAsia="zh-CN"/>
              </w:rPr>
              <w:t>9</w:t>
            </w:r>
            <w:r>
              <w:rPr>
                <w:rFonts w:hint="eastAsia" w:asciiTheme="minorEastAsia" w:hAnsiTheme="minorEastAsia" w:eastAsiaTheme="minorEastAsia"/>
                <w:color w:val="auto"/>
                <w:sz w:val="24"/>
                <w:szCs w:val="20"/>
                <w:highlight w:val="none"/>
              </w:rPr>
              <w:t>条要求</w:t>
            </w:r>
          </w:p>
        </w:tc>
        <w:tc>
          <w:tcPr>
            <w:tcW w:w="1371" w:type="pct"/>
            <w:vAlign w:val="center"/>
          </w:tcPr>
          <w:p w14:paraId="282429B9">
            <w:pPr>
              <w:keepNext w:val="0"/>
              <w:keepLines w:val="0"/>
              <w:suppressLineNumbers w:val="0"/>
              <w:adjustRightInd w:val="0"/>
              <w:snapToGrid w:val="0"/>
              <w:spacing w:before="0" w:beforeAutospacing="0" w:after="0" w:afterAutospacing="0" w:line="360" w:lineRule="auto"/>
              <w:ind w:left="0" w:leftChars="0" w:right="-10" w:rightChars="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0F2C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682EC1DF">
            <w:pPr>
              <w:adjustRightInd w:val="0"/>
              <w:snapToGrid w:val="0"/>
              <w:spacing w:line="360" w:lineRule="auto"/>
              <w:ind w:right="-1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175" w:type="pct"/>
            <w:vAlign w:val="center"/>
          </w:tcPr>
          <w:p w14:paraId="3BFDBD65">
            <w:pPr>
              <w:spacing w:after="50" w:line="360" w:lineRule="auto"/>
              <w:ind w:right="-1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1964" w:type="pct"/>
            <w:vAlign w:val="center"/>
          </w:tcPr>
          <w:p w14:paraId="6E958628">
            <w:pPr>
              <w:spacing w:after="50" w:line="360" w:lineRule="auto"/>
              <w:ind w:right="-10" w:rightChars="0"/>
              <w:jc w:val="left"/>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371" w:type="pct"/>
            <w:vAlign w:val="center"/>
          </w:tcPr>
          <w:p w14:paraId="29E979E8">
            <w:pPr>
              <w:adjustRightInd w:val="0"/>
              <w:snapToGrid w:val="0"/>
              <w:spacing w:line="360" w:lineRule="auto"/>
              <w:ind w:right="-1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63EE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43ABDE93">
            <w:pPr>
              <w:adjustRightInd w:val="0"/>
              <w:snapToGrid w:val="0"/>
              <w:spacing w:line="360" w:lineRule="auto"/>
              <w:ind w:right="-1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6</w:t>
            </w:r>
          </w:p>
        </w:tc>
        <w:tc>
          <w:tcPr>
            <w:tcW w:w="1175" w:type="pct"/>
            <w:vAlign w:val="center"/>
          </w:tcPr>
          <w:p w14:paraId="5B87CEE1">
            <w:pPr>
              <w:spacing w:after="50" w:line="360" w:lineRule="auto"/>
              <w:ind w:right="-1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1964" w:type="pct"/>
            <w:vAlign w:val="center"/>
          </w:tcPr>
          <w:p w14:paraId="6428CF6D">
            <w:pPr>
              <w:spacing w:after="50" w:line="360" w:lineRule="auto"/>
              <w:ind w:right="-10" w:rightChars="0"/>
              <w:jc w:val="left"/>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符合招标文件采购需求中货物技术参数</w:t>
            </w:r>
            <w:r>
              <w:rPr>
                <w:rFonts w:hint="eastAsia" w:asciiTheme="minorEastAsia" w:hAnsiTheme="minorEastAsia" w:eastAsiaTheme="minorEastAsia"/>
                <w:color w:val="auto"/>
                <w:sz w:val="24"/>
                <w:szCs w:val="28"/>
                <w:highlight w:val="none"/>
                <w:lang w:val="en-US" w:eastAsia="zh-CN"/>
              </w:rPr>
              <w:t>等实质性要求</w:t>
            </w:r>
          </w:p>
        </w:tc>
        <w:tc>
          <w:tcPr>
            <w:tcW w:w="1371" w:type="pct"/>
            <w:vAlign w:val="center"/>
          </w:tcPr>
          <w:p w14:paraId="374BEDB1">
            <w:pPr>
              <w:adjustRightInd w:val="0"/>
              <w:snapToGrid w:val="0"/>
              <w:spacing w:line="360" w:lineRule="auto"/>
              <w:ind w:right="-1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5CCB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1F690C75">
            <w:pPr>
              <w:adjustRightInd w:val="0"/>
              <w:snapToGrid w:val="0"/>
              <w:spacing w:line="360" w:lineRule="auto"/>
              <w:ind w:right="-1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1175" w:type="pct"/>
            <w:vAlign w:val="center"/>
          </w:tcPr>
          <w:p w14:paraId="6063A6B4">
            <w:pPr>
              <w:spacing w:after="50" w:line="360" w:lineRule="auto"/>
              <w:ind w:right="-1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964" w:type="pct"/>
            <w:vAlign w:val="center"/>
          </w:tcPr>
          <w:p w14:paraId="49F1CC9D">
            <w:pPr>
              <w:spacing w:after="50" w:line="360" w:lineRule="auto"/>
              <w:ind w:right="-10" w:rightChars="0"/>
              <w:jc w:val="left"/>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实质性要求</w:t>
            </w:r>
          </w:p>
        </w:tc>
        <w:tc>
          <w:tcPr>
            <w:tcW w:w="1371" w:type="pct"/>
            <w:vAlign w:val="center"/>
          </w:tcPr>
          <w:p w14:paraId="08777ED2">
            <w:pPr>
              <w:adjustRightInd w:val="0"/>
              <w:snapToGrid w:val="0"/>
              <w:spacing w:line="360" w:lineRule="auto"/>
              <w:ind w:right="-10"/>
              <w:jc w:val="center"/>
              <w:outlineLvl w:val="9"/>
              <w:rPr>
                <w:rFonts w:asciiTheme="minorEastAsia" w:hAnsiTheme="minorEastAsia" w:eastAsiaTheme="minorEastAsia"/>
                <w:color w:val="auto"/>
                <w:sz w:val="24"/>
                <w:highlight w:val="none"/>
              </w:rPr>
            </w:pPr>
          </w:p>
        </w:tc>
      </w:tr>
    </w:tbl>
    <w:p w14:paraId="12F8F6E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049418D9">
      <w:pPr>
        <w:spacing w:line="360" w:lineRule="auto"/>
        <w:ind w:firstLine="437"/>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6896D354">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7F083163">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rPr>
        <w:t>%。具体评分细则如下：</w:t>
      </w:r>
    </w:p>
    <w:tbl>
      <w:tblPr>
        <w:tblStyle w:val="24"/>
        <w:tblW w:w="56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516"/>
        <w:gridCol w:w="5170"/>
        <w:gridCol w:w="1591"/>
      </w:tblGrid>
      <w:tr w14:paraId="5B0D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4" w:type="pct"/>
            <w:tcBorders>
              <w:top w:val="single" w:color="auto" w:sz="4" w:space="0"/>
              <w:left w:val="single" w:color="auto" w:sz="4" w:space="0"/>
              <w:bottom w:val="single" w:color="auto" w:sz="4" w:space="0"/>
              <w:right w:val="single" w:color="auto" w:sz="4" w:space="0"/>
            </w:tcBorders>
            <w:vAlign w:val="center"/>
          </w:tcPr>
          <w:p w14:paraId="0B8293D1">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792" w:type="pct"/>
            <w:tcBorders>
              <w:top w:val="single" w:color="auto" w:sz="4" w:space="0"/>
              <w:left w:val="single" w:color="auto" w:sz="4" w:space="0"/>
              <w:bottom w:val="single" w:color="auto" w:sz="4" w:space="0"/>
              <w:right w:val="single" w:color="auto" w:sz="4" w:space="0"/>
            </w:tcBorders>
            <w:vAlign w:val="center"/>
          </w:tcPr>
          <w:p w14:paraId="4952CED9">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2701" w:type="pct"/>
            <w:tcBorders>
              <w:top w:val="single" w:color="auto" w:sz="4" w:space="0"/>
              <w:left w:val="single" w:color="auto" w:sz="4" w:space="0"/>
              <w:bottom w:val="single" w:color="auto" w:sz="4" w:space="0"/>
              <w:right w:val="single" w:color="auto" w:sz="4" w:space="0"/>
            </w:tcBorders>
            <w:vAlign w:val="center"/>
          </w:tcPr>
          <w:p w14:paraId="26C05699">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831" w:type="pct"/>
            <w:tcBorders>
              <w:top w:val="single" w:color="auto" w:sz="4" w:space="0"/>
              <w:left w:val="single" w:color="auto" w:sz="4" w:space="0"/>
              <w:bottom w:val="single" w:color="auto" w:sz="4" w:space="0"/>
              <w:right w:val="single" w:color="auto" w:sz="4" w:space="0"/>
            </w:tcBorders>
            <w:vAlign w:val="center"/>
          </w:tcPr>
          <w:p w14:paraId="1BDFE6E4">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171F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4" w:type="pct"/>
            <w:vMerge w:val="restart"/>
            <w:tcBorders>
              <w:top w:val="single" w:color="auto" w:sz="4" w:space="0"/>
              <w:left w:val="single" w:color="auto" w:sz="4" w:space="0"/>
              <w:right w:val="single" w:color="auto" w:sz="4" w:space="0"/>
            </w:tcBorders>
            <w:vAlign w:val="center"/>
          </w:tcPr>
          <w:p w14:paraId="165EC8BD">
            <w:pPr>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资信分</w:t>
            </w:r>
          </w:p>
          <w:p w14:paraId="35334342">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20</w:t>
            </w:r>
            <w:r>
              <w:rPr>
                <w:rFonts w:hint="eastAsia" w:asciiTheme="minorEastAsia" w:hAnsiTheme="minorEastAsia" w:eastAsiaTheme="minorEastAsia"/>
                <w:color w:val="auto"/>
                <w:sz w:val="24"/>
                <w:highlight w:val="none"/>
              </w:rPr>
              <w:t>分）</w:t>
            </w:r>
          </w:p>
        </w:tc>
        <w:tc>
          <w:tcPr>
            <w:tcW w:w="4325" w:type="pct"/>
            <w:gridSpan w:val="3"/>
            <w:tcBorders>
              <w:top w:val="single" w:color="auto" w:sz="4" w:space="0"/>
              <w:left w:val="single" w:color="auto" w:sz="4" w:space="0"/>
              <w:bottom w:val="single" w:color="auto" w:sz="4" w:space="0"/>
              <w:right w:val="single" w:color="auto" w:sz="4" w:space="0"/>
            </w:tcBorders>
            <w:vAlign w:val="center"/>
          </w:tcPr>
          <w:p w14:paraId="60252095">
            <w:pPr>
              <w:spacing w:line="360" w:lineRule="auto"/>
              <w:jc w:val="center"/>
              <w:outlineLvl w:val="9"/>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资信标评审</w:t>
            </w:r>
          </w:p>
        </w:tc>
      </w:tr>
      <w:tr w14:paraId="51F6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continue"/>
            <w:tcBorders>
              <w:left w:val="single" w:color="auto" w:sz="4" w:space="0"/>
              <w:right w:val="single" w:color="auto" w:sz="4" w:space="0"/>
            </w:tcBorders>
            <w:vAlign w:val="center"/>
          </w:tcPr>
          <w:p w14:paraId="532CB03C">
            <w:pPr>
              <w:spacing w:line="360" w:lineRule="auto"/>
              <w:jc w:val="center"/>
              <w:outlineLvl w:val="9"/>
              <w:rPr>
                <w:rFonts w:asciiTheme="minorEastAsia" w:hAnsiTheme="minorEastAsia" w:eastAsiaTheme="minorEastAsia"/>
                <w:b/>
                <w:bCs/>
                <w:color w:val="auto"/>
                <w:sz w:val="24"/>
                <w:highlight w:val="none"/>
              </w:rPr>
            </w:pPr>
          </w:p>
        </w:tc>
        <w:tc>
          <w:tcPr>
            <w:tcW w:w="792" w:type="pct"/>
            <w:tcBorders>
              <w:top w:val="single" w:color="auto" w:sz="4" w:space="0"/>
              <w:left w:val="single" w:color="auto" w:sz="4" w:space="0"/>
              <w:bottom w:val="single" w:color="auto" w:sz="4" w:space="0"/>
              <w:right w:val="single" w:color="auto" w:sz="4" w:space="0"/>
            </w:tcBorders>
            <w:vAlign w:val="center"/>
          </w:tcPr>
          <w:p w14:paraId="3576B354">
            <w:pPr>
              <w:widowControl/>
              <w:adjustRightInd w:val="0"/>
              <w:snapToGrid w:val="0"/>
              <w:spacing w:line="360" w:lineRule="auto"/>
              <w:jc w:val="center"/>
              <w:outlineLvl w:val="9"/>
              <w:rPr>
                <w:rFonts w:asciiTheme="minorEastAsia" w:hAnsiTheme="minorEastAsia" w:eastAsiaTheme="minorEastAsia"/>
                <w:bCs/>
                <w:color w:val="auto"/>
                <w:sz w:val="24"/>
                <w:highlight w:val="none"/>
              </w:rPr>
            </w:pPr>
            <w:r>
              <w:rPr>
                <w:rFonts w:hint="eastAsia" w:ascii="宋体" w:hAnsi="宋体" w:eastAsia="宋体" w:cs="宋体"/>
                <w:color w:val="auto"/>
                <w:kern w:val="0"/>
                <w:sz w:val="24"/>
                <w:highlight w:val="none"/>
              </w:rPr>
              <w:t>企业业绩</w:t>
            </w:r>
          </w:p>
        </w:tc>
        <w:tc>
          <w:tcPr>
            <w:tcW w:w="2701" w:type="pct"/>
            <w:tcBorders>
              <w:top w:val="single" w:color="auto" w:sz="4" w:space="0"/>
              <w:left w:val="single" w:color="auto" w:sz="4" w:space="0"/>
              <w:bottom w:val="single" w:color="auto" w:sz="4" w:space="0"/>
              <w:right w:val="single" w:color="auto" w:sz="4" w:space="0"/>
            </w:tcBorders>
            <w:vAlign w:val="center"/>
          </w:tcPr>
          <w:p w14:paraId="114E8709">
            <w:pPr>
              <w:widowControl/>
              <w:adjustRightInd w:val="0"/>
              <w:snapToGrid w:val="0"/>
              <w:spacing w:line="360" w:lineRule="auto"/>
              <w:jc w:val="left"/>
              <w:outlineLvl w:val="9"/>
              <w:rPr>
                <w:rFonts w:hint="eastAsia" w:eastAsia="宋体" w:asciiTheme="minorEastAsia" w:hAnsiTheme="minorEastAsia"/>
                <w:bCs/>
                <w:color w:val="auto"/>
                <w:sz w:val="24"/>
                <w:highlight w:val="none"/>
                <w:lang w:eastAsia="zh-CN"/>
              </w:rPr>
            </w:pPr>
            <w:r>
              <w:rPr>
                <w:rFonts w:hint="eastAsia" w:ascii="宋体" w:hAnsi="宋体" w:eastAsia="宋体" w:cs="宋体"/>
                <w:color w:val="auto"/>
                <w:kern w:val="0"/>
                <w:sz w:val="24"/>
                <w:highlight w:val="none"/>
              </w:rPr>
              <w:t>自202</w:t>
            </w:r>
            <w:r>
              <w:rPr>
                <w:rFonts w:ascii="宋体" w:hAnsi="宋体" w:eastAsia="宋体" w:cs="宋体"/>
                <w:color w:val="auto"/>
                <w:kern w:val="0"/>
                <w:sz w:val="24"/>
                <w:highlight w:val="none"/>
              </w:rPr>
              <w:t>2</w:t>
            </w:r>
            <w:r>
              <w:rPr>
                <w:rFonts w:hint="eastAsia" w:ascii="宋体" w:hAnsi="宋体" w:eastAsia="宋体" w:cs="宋体"/>
                <w:color w:val="auto"/>
                <w:kern w:val="0"/>
                <w:sz w:val="24"/>
                <w:highlight w:val="none"/>
              </w:rPr>
              <w:t>年</w:t>
            </w:r>
            <w:r>
              <w:rPr>
                <w:rFonts w:ascii="宋体" w:hAnsi="宋体" w:eastAsia="宋体" w:cs="宋体"/>
                <w:color w:val="auto"/>
                <w:kern w:val="0"/>
                <w:sz w:val="24"/>
                <w:highlight w:val="none"/>
              </w:rPr>
              <w:t>7</w:t>
            </w:r>
            <w:r>
              <w:rPr>
                <w:rFonts w:hint="eastAsia" w:ascii="宋体" w:hAnsi="宋体" w:eastAsia="宋体" w:cs="宋体"/>
                <w:color w:val="auto"/>
                <w:kern w:val="0"/>
                <w:sz w:val="24"/>
                <w:highlight w:val="none"/>
              </w:rPr>
              <w:t>月</w:t>
            </w:r>
            <w:r>
              <w:rPr>
                <w:rFonts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日至投标截止时间前，投标人具有工作站电脑业绩的，每提供一个的得</w:t>
            </w:r>
            <w:r>
              <w:rPr>
                <w:rFonts w:ascii="宋体" w:hAnsi="宋体" w:eastAsia="宋体" w:cs="宋体"/>
                <w:color w:val="auto"/>
                <w:kern w:val="0"/>
                <w:sz w:val="24"/>
                <w:highlight w:val="none"/>
              </w:rPr>
              <w:t>2</w:t>
            </w:r>
            <w:r>
              <w:rPr>
                <w:rFonts w:hint="eastAsia" w:ascii="宋体" w:hAnsi="宋体" w:eastAsia="宋体" w:cs="宋体"/>
                <w:color w:val="auto"/>
                <w:kern w:val="0"/>
                <w:sz w:val="24"/>
                <w:highlight w:val="none"/>
              </w:rPr>
              <w:t>分，本项满分</w:t>
            </w:r>
            <w:r>
              <w:rPr>
                <w:rFonts w:ascii="宋体" w:hAnsi="宋体" w:eastAsia="宋体" w:cs="宋体"/>
                <w:color w:val="auto"/>
                <w:kern w:val="0"/>
                <w:sz w:val="24"/>
                <w:highlight w:val="none"/>
              </w:rPr>
              <w:t>4</w:t>
            </w:r>
            <w:r>
              <w:rPr>
                <w:rFonts w:hint="eastAsia" w:ascii="宋体" w:hAnsi="宋体" w:eastAsia="宋体" w:cs="宋体"/>
                <w:color w:val="auto"/>
                <w:kern w:val="0"/>
                <w:sz w:val="24"/>
                <w:highlight w:val="none"/>
              </w:rPr>
              <w:t>分。</w:t>
            </w:r>
            <w:r>
              <w:rPr>
                <w:rFonts w:hint="eastAsia" w:ascii="宋体" w:hAnsi="宋体" w:eastAsia="宋体" w:cs="宋体"/>
                <w:b/>
                <w:bCs/>
                <w:color w:val="auto"/>
                <w:kern w:val="0"/>
                <w:sz w:val="24"/>
                <w:highlight w:val="none"/>
                <w:lang w:val="en-US" w:eastAsia="zh-CN"/>
              </w:rPr>
              <w:t>注：</w:t>
            </w:r>
            <w:r>
              <w:rPr>
                <w:rFonts w:hint="eastAsia" w:ascii="宋体" w:hAnsi="宋体" w:eastAsia="宋体" w:cs="宋体"/>
                <w:b/>
                <w:bCs/>
                <w:color w:val="auto"/>
                <w:kern w:val="0"/>
                <w:sz w:val="24"/>
                <w:highlight w:val="none"/>
              </w:rPr>
              <w:t>须同时提供采购合同</w:t>
            </w:r>
            <w:r>
              <w:rPr>
                <w:rFonts w:hint="eastAsia" w:asciiTheme="minorEastAsia" w:hAnsiTheme="minorEastAsia" w:eastAsiaTheme="minorEastAsia"/>
                <w:b/>
                <w:bCs/>
                <w:color w:val="auto"/>
                <w:sz w:val="24"/>
                <w:szCs w:val="20"/>
                <w:highlight w:val="none"/>
                <w:lang w:val="en-US" w:eastAsia="zh-CN"/>
              </w:rPr>
              <w:t>原件或加盖投标人公章的复印件</w:t>
            </w:r>
            <w:r>
              <w:rPr>
                <w:rFonts w:hint="eastAsia" w:ascii="宋体" w:hAnsi="宋体" w:eastAsia="宋体" w:cs="宋体"/>
                <w:b/>
                <w:bCs/>
                <w:color w:val="auto"/>
                <w:kern w:val="0"/>
                <w:sz w:val="24"/>
                <w:highlight w:val="none"/>
              </w:rPr>
              <w:t>，有效时间以合同签订时间为准</w:t>
            </w:r>
            <w:r>
              <w:rPr>
                <w:rFonts w:hint="eastAsia" w:ascii="宋体" w:hAnsi="宋体" w:eastAsia="宋体" w:cs="宋体"/>
                <w:b/>
                <w:bCs/>
                <w:color w:val="auto"/>
                <w:kern w:val="0"/>
                <w:sz w:val="24"/>
                <w:highlight w:val="none"/>
                <w:lang w:eastAsia="zh-CN"/>
              </w:rPr>
              <w:t>。</w:t>
            </w:r>
            <w:r>
              <w:rPr>
                <w:rFonts w:hint="eastAsia" w:asciiTheme="minorEastAsia" w:hAnsiTheme="minorEastAsia" w:eastAsiaTheme="minorEastAsia"/>
                <w:b/>
                <w:bCs/>
                <w:color w:val="auto"/>
                <w:sz w:val="24"/>
                <w:szCs w:val="20"/>
                <w:highlight w:val="none"/>
                <w:lang w:val="en-US" w:eastAsia="zh-CN"/>
              </w:rPr>
              <w:t>如合同中无法体现签订时间、项目内容的，须另附业主（合同甲方）证明材料。</w:t>
            </w:r>
          </w:p>
        </w:tc>
        <w:tc>
          <w:tcPr>
            <w:tcW w:w="831" w:type="pct"/>
            <w:tcBorders>
              <w:top w:val="single" w:color="auto" w:sz="4" w:space="0"/>
              <w:left w:val="single" w:color="auto" w:sz="4" w:space="0"/>
              <w:bottom w:val="single" w:color="auto" w:sz="4" w:space="0"/>
              <w:right w:val="single" w:color="auto" w:sz="4" w:space="0"/>
            </w:tcBorders>
            <w:vAlign w:val="center"/>
          </w:tcPr>
          <w:p w14:paraId="0C133726">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w:t>
            </w:r>
            <w:r>
              <w:rPr>
                <w:rFonts w:hint="eastAsia" w:asciiTheme="minorEastAsia" w:hAnsiTheme="minorEastAsia" w:eastAsiaTheme="minorEastAsia"/>
                <w:b/>
                <w:bCs/>
                <w:color w:val="auto"/>
                <w:sz w:val="24"/>
                <w:highlight w:val="none"/>
                <w:lang w:val="en-US"/>
              </w:rPr>
              <w:t>4分</w:t>
            </w:r>
          </w:p>
        </w:tc>
      </w:tr>
      <w:tr w14:paraId="7C81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continue"/>
            <w:tcBorders>
              <w:left w:val="single" w:color="auto" w:sz="4" w:space="0"/>
              <w:right w:val="single" w:color="auto" w:sz="4" w:space="0"/>
            </w:tcBorders>
            <w:vAlign w:val="center"/>
          </w:tcPr>
          <w:p w14:paraId="6E82D4B7">
            <w:pPr>
              <w:spacing w:line="360" w:lineRule="auto"/>
              <w:ind w:firstLine="435"/>
              <w:jc w:val="center"/>
              <w:outlineLvl w:val="9"/>
              <w:rPr>
                <w:rFonts w:asciiTheme="minorEastAsia" w:hAnsiTheme="minorEastAsia" w:eastAsiaTheme="minorEastAsia"/>
                <w:b/>
                <w:bCs/>
                <w:color w:val="auto"/>
                <w:sz w:val="24"/>
                <w:highlight w:val="none"/>
              </w:rPr>
            </w:pPr>
          </w:p>
        </w:tc>
        <w:tc>
          <w:tcPr>
            <w:tcW w:w="792" w:type="pct"/>
            <w:vMerge w:val="restart"/>
            <w:tcBorders>
              <w:top w:val="single" w:color="auto" w:sz="4" w:space="0"/>
              <w:left w:val="single" w:color="auto" w:sz="4" w:space="0"/>
              <w:bottom w:val="single" w:color="auto" w:sz="4" w:space="0"/>
              <w:right w:val="single" w:color="auto" w:sz="4" w:space="0"/>
            </w:tcBorders>
            <w:vAlign w:val="center"/>
          </w:tcPr>
          <w:p w14:paraId="032A1777">
            <w:pPr>
              <w:widowControl/>
              <w:adjustRightInd w:val="0"/>
              <w:snapToGrid w:val="0"/>
              <w:spacing w:line="360" w:lineRule="auto"/>
              <w:jc w:val="center"/>
              <w:outlineLvl w:val="9"/>
              <w:rPr>
                <w:rFonts w:hint="eastAsia" w:eastAsia="宋体" w:asciiTheme="minorEastAsia" w:hAnsiTheme="minorEastAsia"/>
                <w:color w:val="auto"/>
                <w:sz w:val="24"/>
                <w:highlight w:val="none"/>
                <w:lang w:val="en-US" w:eastAsia="zh-CN"/>
              </w:rPr>
            </w:pPr>
            <w:r>
              <w:rPr>
                <w:rFonts w:hint="eastAsia" w:ascii="宋体" w:hAnsi="宋体" w:eastAsia="宋体" w:cs="宋体"/>
                <w:color w:val="auto"/>
                <w:kern w:val="0"/>
                <w:sz w:val="24"/>
                <w:highlight w:val="none"/>
              </w:rPr>
              <w:t>产品</w:t>
            </w:r>
            <w:r>
              <w:rPr>
                <w:rFonts w:hint="eastAsia" w:ascii="宋体" w:hAnsi="宋体" w:eastAsia="宋体" w:cs="宋体"/>
                <w:color w:val="auto"/>
                <w:kern w:val="0"/>
                <w:sz w:val="24"/>
                <w:highlight w:val="none"/>
                <w:lang w:val="en-US" w:eastAsia="zh-CN"/>
              </w:rPr>
              <w:t>性能</w:t>
            </w:r>
          </w:p>
        </w:tc>
        <w:tc>
          <w:tcPr>
            <w:tcW w:w="2701" w:type="pct"/>
            <w:tcBorders>
              <w:top w:val="single" w:color="auto" w:sz="4" w:space="0"/>
              <w:left w:val="single" w:color="auto" w:sz="4" w:space="0"/>
              <w:bottom w:val="single" w:color="auto" w:sz="4" w:space="0"/>
              <w:right w:val="single" w:color="auto" w:sz="4" w:space="0"/>
            </w:tcBorders>
            <w:vAlign w:val="center"/>
          </w:tcPr>
          <w:p w14:paraId="47424428">
            <w:pPr>
              <w:adjustRightInd w:val="0"/>
              <w:snapToGrid w:val="0"/>
              <w:spacing w:line="360" w:lineRule="auto"/>
              <w:contextualSpacing/>
              <w:outlineLvl w:val="9"/>
              <w:rPr>
                <w:rFonts w:hint="eastAsia" w:eastAsia="宋体" w:asciiTheme="minorEastAsia" w:hAnsiTheme="minorEastAsia"/>
                <w:color w:val="auto"/>
                <w:sz w:val="24"/>
                <w:highlight w:val="none"/>
                <w:lang w:val="en-US" w:eastAsia="zh-CN"/>
              </w:rPr>
            </w:pPr>
            <w:r>
              <w:rPr>
                <w:rFonts w:hint="eastAsia" w:ascii="宋体" w:hAnsi="宋体" w:eastAsia="宋体" w:cs="宋体"/>
                <w:color w:val="auto"/>
                <w:kern w:val="0"/>
                <w:sz w:val="24"/>
                <w:highlight w:val="none"/>
              </w:rPr>
              <w:t>为保障使用过程信息及人身安全，所投工作站产品整机通过数据接口性能和棱缘试验测试合格认证</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投标人</w:t>
            </w:r>
            <w:r>
              <w:rPr>
                <w:rFonts w:hint="eastAsia" w:ascii="宋体" w:hAnsi="宋体" w:eastAsia="宋体" w:cs="宋体"/>
                <w:color w:val="auto"/>
                <w:kern w:val="0"/>
                <w:sz w:val="24"/>
                <w:highlight w:val="none"/>
              </w:rPr>
              <w:t>提供权威第三方认证机构出具的证书</w:t>
            </w:r>
            <w:r>
              <w:rPr>
                <w:rFonts w:hint="eastAsia" w:ascii="宋体" w:hAnsi="宋体" w:eastAsia="宋体" w:cs="宋体"/>
                <w:color w:val="auto"/>
                <w:kern w:val="0"/>
                <w:sz w:val="24"/>
                <w:highlight w:val="none"/>
                <w:lang w:val="en-US" w:eastAsia="zh-CN"/>
              </w:rPr>
              <w:t>的</w:t>
            </w:r>
            <w:r>
              <w:rPr>
                <w:rFonts w:hint="eastAsia" w:ascii="宋体" w:hAnsi="宋体" w:eastAsia="宋体" w:cs="宋体"/>
                <w:color w:val="auto"/>
                <w:kern w:val="0"/>
                <w:sz w:val="24"/>
                <w:highlight w:val="none"/>
              </w:rPr>
              <w:t>，得3分，</w:t>
            </w:r>
            <w:r>
              <w:rPr>
                <w:rFonts w:hint="eastAsia" w:ascii="宋体" w:hAnsi="宋体" w:eastAsia="宋体" w:cs="宋体"/>
                <w:b/>
                <w:bCs/>
                <w:color w:val="auto"/>
                <w:kern w:val="0"/>
                <w:sz w:val="24"/>
                <w:highlight w:val="none"/>
                <w:lang w:val="en-US" w:eastAsia="zh-CN"/>
              </w:rPr>
              <w:t>注：投标人须</w:t>
            </w:r>
            <w:r>
              <w:rPr>
                <w:rFonts w:hint="eastAsia" w:ascii="宋体" w:hAnsi="宋体" w:eastAsia="宋体" w:cs="宋体"/>
                <w:b/>
                <w:bCs/>
                <w:color w:val="auto"/>
                <w:kern w:val="0"/>
                <w:sz w:val="24"/>
                <w:highlight w:val="none"/>
              </w:rPr>
              <w:t>提供权威第三方认证机构出具的证书</w:t>
            </w:r>
            <w:r>
              <w:rPr>
                <w:rFonts w:hint="eastAsia" w:ascii="宋体" w:hAnsi="宋体" w:eastAsia="宋体" w:cs="宋体"/>
                <w:b/>
                <w:bCs/>
                <w:color w:val="auto"/>
                <w:kern w:val="0"/>
                <w:sz w:val="24"/>
                <w:highlight w:val="none"/>
                <w:lang w:val="en-US" w:eastAsia="zh-CN"/>
              </w:rPr>
              <w:t>的</w:t>
            </w:r>
            <w:r>
              <w:rPr>
                <w:rFonts w:hint="eastAsia" w:ascii="宋体" w:hAnsi="宋体" w:eastAsia="宋体" w:cs="宋体"/>
                <w:b/>
                <w:bCs/>
                <w:color w:val="auto"/>
                <w:kern w:val="0"/>
                <w:sz w:val="24"/>
                <w:highlight w:val="none"/>
              </w:rPr>
              <w:t>复印件</w:t>
            </w:r>
            <w:r>
              <w:rPr>
                <w:rFonts w:hint="eastAsia" w:ascii="宋体" w:hAnsi="宋体" w:eastAsia="宋体" w:cs="宋体"/>
                <w:b/>
                <w:bCs/>
                <w:color w:val="auto"/>
                <w:kern w:val="0"/>
                <w:sz w:val="24"/>
                <w:highlight w:val="none"/>
                <w:lang w:val="en-US" w:eastAsia="zh-CN"/>
              </w:rPr>
              <w:t>并加盖投标人公章。</w:t>
            </w:r>
          </w:p>
        </w:tc>
        <w:tc>
          <w:tcPr>
            <w:tcW w:w="831" w:type="pct"/>
            <w:tcBorders>
              <w:top w:val="single" w:color="auto" w:sz="4" w:space="0"/>
              <w:left w:val="single" w:color="auto" w:sz="4" w:space="0"/>
              <w:bottom w:val="single" w:color="auto" w:sz="4" w:space="0"/>
              <w:right w:val="single" w:color="auto" w:sz="4" w:space="0"/>
            </w:tcBorders>
            <w:vAlign w:val="center"/>
          </w:tcPr>
          <w:p w14:paraId="7E37A1D2">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0-3</w:t>
            </w:r>
            <w:r>
              <w:rPr>
                <w:rFonts w:hint="eastAsia" w:asciiTheme="minorEastAsia" w:hAnsiTheme="minorEastAsia" w:eastAsiaTheme="minorEastAsia"/>
                <w:b/>
                <w:bCs/>
                <w:color w:val="auto"/>
                <w:sz w:val="24"/>
                <w:highlight w:val="none"/>
                <w:lang w:val="en-US"/>
              </w:rPr>
              <w:t>分</w:t>
            </w:r>
          </w:p>
        </w:tc>
      </w:tr>
      <w:tr w14:paraId="6999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continue"/>
            <w:tcBorders>
              <w:left w:val="single" w:color="auto" w:sz="4" w:space="0"/>
              <w:right w:val="single" w:color="auto" w:sz="4" w:space="0"/>
            </w:tcBorders>
            <w:vAlign w:val="center"/>
          </w:tcPr>
          <w:p w14:paraId="4B28D26C">
            <w:pPr>
              <w:spacing w:line="360" w:lineRule="auto"/>
              <w:ind w:firstLine="435"/>
              <w:jc w:val="center"/>
              <w:outlineLvl w:val="9"/>
              <w:rPr>
                <w:rFonts w:asciiTheme="minorEastAsia" w:hAnsiTheme="minorEastAsia" w:eastAsiaTheme="minorEastAsia"/>
                <w:b/>
                <w:bCs/>
                <w:color w:val="auto"/>
                <w:sz w:val="24"/>
                <w:highlight w:val="none"/>
              </w:rPr>
            </w:pPr>
          </w:p>
        </w:tc>
        <w:tc>
          <w:tcPr>
            <w:tcW w:w="792" w:type="pct"/>
            <w:vMerge w:val="continue"/>
            <w:tcBorders>
              <w:top w:val="single" w:color="auto" w:sz="4" w:space="0"/>
              <w:left w:val="single" w:color="auto" w:sz="4" w:space="0"/>
              <w:bottom w:val="single" w:color="auto" w:sz="4" w:space="0"/>
              <w:right w:val="single" w:color="auto" w:sz="4" w:space="0"/>
            </w:tcBorders>
            <w:vAlign w:val="center"/>
          </w:tcPr>
          <w:p w14:paraId="73025890">
            <w:pPr>
              <w:widowControl/>
              <w:adjustRightInd w:val="0"/>
              <w:snapToGrid w:val="0"/>
              <w:spacing w:line="360" w:lineRule="auto"/>
              <w:jc w:val="center"/>
              <w:outlineLvl w:val="9"/>
              <w:rPr>
                <w:rFonts w:asciiTheme="minorEastAsia" w:hAnsiTheme="minorEastAsia" w:eastAsiaTheme="minorEastAsia"/>
                <w:color w:val="auto"/>
                <w:sz w:val="24"/>
                <w:highlight w:val="none"/>
              </w:rPr>
            </w:pPr>
          </w:p>
        </w:tc>
        <w:tc>
          <w:tcPr>
            <w:tcW w:w="2701" w:type="pct"/>
            <w:tcBorders>
              <w:top w:val="single" w:color="auto" w:sz="4" w:space="0"/>
              <w:left w:val="single" w:color="auto" w:sz="4" w:space="0"/>
              <w:bottom w:val="single" w:color="auto" w:sz="4" w:space="0"/>
              <w:right w:val="single" w:color="auto" w:sz="4" w:space="0"/>
            </w:tcBorders>
            <w:vAlign w:val="center"/>
          </w:tcPr>
          <w:p w14:paraId="45A5C641">
            <w:pPr>
              <w:adjustRightInd w:val="0"/>
              <w:snapToGrid w:val="0"/>
              <w:spacing w:line="360" w:lineRule="auto"/>
              <w:contextualSpacing/>
              <w:outlineLvl w:val="9"/>
              <w:rPr>
                <w:rFonts w:hint="eastAsia" w:eastAsia="宋体" w:asciiTheme="minorEastAsia" w:hAnsiTheme="minorEastAsia"/>
                <w:color w:val="auto"/>
                <w:sz w:val="24"/>
                <w:highlight w:val="none"/>
                <w:lang w:val="en-US" w:eastAsia="zh-CN"/>
              </w:rPr>
            </w:pPr>
            <w:r>
              <w:rPr>
                <w:rFonts w:hint="eastAsia" w:ascii="宋体" w:hAnsi="宋体" w:eastAsia="宋体" w:cs="宋体"/>
                <w:color w:val="auto"/>
                <w:kern w:val="0"/>
                <w:sz w:val="24"/>
                <w:highlight w:val="none"/>
              </w:rPr>
              <w:t>所投工作站产品具有净化装置，且具有有效去除空气中的甲醛等有害气体(净化空气) 功能</w:t>
            </w:r>
            <w:r>
              <w:rPr>
                <w:rFonts w:hint="eastAsia" w:ascii="宋体" w:hAnsi="宋体" w:eastAsia="宋体" w:cs="宋体"/>
                <w:color w:val="auto"/>
                <w:kern w:val="0"/>
                <w:sz w:val="24"/>
                <w:highlight w:val="none"/>
                <w:lang w:val="en-US" w:eastAsia="zh-CN"/>
              </w:rPr>
              <w:t>的</w:t>
            </w:r>
            <w:r>
              <w:rPr>
                <w:rFonts w:hint="eastAsia" w:ascii="宋体" w:hAnsi="宋体" w:eastAsia="宋体" w:cs="宋体"/>
                <w:color w:val="auto"/>
                <w:kern w:val="0"/>
                <w:sz w:val="24"/>
                <w:highlight w:val="none"/>
              </w:rPr>
              <w:t xml:space="preserve">得 </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w:t>
            </w:r>
            <w:r>
              <w:rPr>
                <w:rFonts w:hint="eastAsia" w:ascii="宋体" w:hAnsi="宋体" w:eastAsia="宋体" w:cs="宋体"/>
                <w:b/>
                <w:bCs/>
                <w:color w:val="auto"/>
                <w:kern w:val="0"/>
                <w:sz w:val="24"/>
                <w:highlight w:val="none"/>
                <w:lang w:val="en-US" w:eastAsia="zh-CN"/>
              </w:rPr>
              <w:t>注：投标人须提供权威第三方认证机构出具的证书复印件并加盖投标人公章。</w:t>
            </w:r>
          </w:p>
        </w:tc>
        <w:tc>
          <w:tcPr>
            <w:tcW w:w="831" w:type="pct"/>
            <w:tcBorders>
              <w:top w:val="single" w:color="auto" w:sz="4" w:space="0"/>
              <w:left w:val="single" w:color="auto" w:sz="4" w:space="0"/>
              <w:bottom w:val="single" w:color="auto" w:sz="4" w:space="0"/>
              <w:right w:val="single" w:color="auto" w:sz="4" w:space="0"/>
            </w:tcBorders>
            <w:vAlign w:val="center"/>
          </w:tcPr>
          <w:p w14:paraId="34E6C433">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0-3</w:t>
            </w:r>
            <w:r>
              <w:rPr>
                <w:rFonts w:hint="eastAsia" w:asciiTheme="minorEastAsia" w:hAnsiTheme="minorEastAsia" w:eastAsiaTheme="minorEastAsia"/>
                <w:b/>
                <w:bCs/>
                <w:color w:val="auto"/>
                <w:sz w:val="24"/>
                <w:highlight w:val="none"/>
                <w:lang w:val="en-US"/>
              </w:rPr>
              <w:t>分</w:t>
            </w:r>
          </w:p>
        </w:tc>
      </w:tr>
      <w:tr w14:paraId="1FCD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674" w:type="pct"/>
            <w:vMerge w:val="continue"/>
            <w:tcBorders>
              <w:left w:val="single" w:color="auto" w:sz="4" w:space="0"/>
              <w:right w:val="single" w:color="auto" w:sz="4" w:space="0"/>
            </w:tcBorders>
            <w:vAlign w:val="center"/>
          </w:tcPr>
          <w:p w14:paraId="1C897E38">
            <w:pPr>
              <w:spacing w:line="360" w:lineRule="auto"/>
              <w:ind w:firstLine="435"/>
              <w:jc w:val="center"/>
              <w:outlineLvl w:val="9"/>
              <w:rPr>
                <w:rFonts w:asciiTheme="minorEastAsia" w:hAnsiTheme="minorEastAsia" w:eastAsiaTheme="minorEastAsia"/>
                <w:b/>
                <w:bCs/>
                <w:color w:val="auto"/>
                <w:sz w:val="24"/>
                <w:highlight w:val="none"/>
              </w:rPr>
            </w:pPr>
          </w:p>
        </w:tc>
        <w:tc>
          <w:tcPr>
            <w:tcW w:w="792" w:type="pct"/>
            <w:tcBorders>
              <w:top w:val="single" w:color="auto" w:sz="4" w:space="0"/>
              <w:left w:val="single" w:color="auto" w:sz="4" w:space="0"/>
              <w:bottom w:val="single" w:color="auto" w:sz="4" w:space="0"/>
              <w:right w:val="single" w:color="auto" w:sz="4" w:space="0"/>
            </w:tcBorders>
            <w:vAlign w:val="center"/>
          </w:tcPr>
          <w:p w14:paraId="1BF03A39">
            <w:pPr>
              <w:widowControl/>
              <w:adjustRightInd w:val="0"/>
              <w:snapToGrid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宋体" w:hAnsi="宋体" w:eastAsia="宋体" w:cs="宋体"/>
                <w:color w:val="auto"/>
                <w:kern w:val="0"/>
                <w:sz w:val="24"/>
                <w:highlight w:val="none"/>
                <w:lang w:val="en-US" w:eastAsia="zh-CN"/>
              </w:rPr>
              <w:t>企业实力</w:t>
            </w:r>
          </w:p>
        </w:tc>
        <w:tc>
          <w:tcPr>
            <w:tcW w:w="2701" w:type="pct"/>
            <w:tcBorders>
              <w:top w:val="single" w:color="auto" w:sz="4" w:space="0"/>
              <w:left w:val="single" w:color="auto" w:sz="4" w:space="0"/>
              <w:right w:val="single" w:color="auto" w:sz="4" w:space="0"/>
            </w:tcBorders>
            <w:vAlign w:val="center"/>
          </w:tcPr>
          <w:p w14:paraId="6BC8FD1E">
            <w:pPr>
              <w:pStyle w:val="63"/>
              <w:adjustRightInd w:val="0"/>
              <w:snapToGrid w:val="0"/>
              <w:ind w:firstLine="0" w:firstLineChars="0"/>
              <w:outlineLvl w:val="9"/>
              <w:rPr>
                <w:rFonts w:ascii="宋体" w:hAnsi="宋体" w:eastAsia="宋体"/>
                <w:color w:val="auto"/>
                <w:kern w:val="0"/>
                <w:sz w:val="24"/>
                <w:highlight w:val="none"/>
              </w:rPr>
            </w:pPr>
            <w:r>
              <w:rPr>
                <w:rFonts w:hint="eastAsia" w:ascii="宋体" w:hAnsi="宋体" w:eastAsia="宋体"/>
                <w:color w:val="auto"/>
                <w:kern w:val="0"/>
                <w:sz w:val="24"/>
                <w:highlight w:val="none"/>
              </w:rPr>
              <w:t>1</w:t>
            </w:r>
            <w:r>
              <w:rPr>
                <w:rFonts w:ascii="宋体" w:hAnsi="宋体" w:eastAsia="宋体"/>
                <w:color w:val="auto"/>
                <w:kern w:val="0"/>
                <w:sz w:val="24"/>
                <w:highlight w:val="none"/>
              </w:rPr>
              <w:t>.</w:t>
            </w:r>
            <w:r>
              <w:rPr>
                <w:rFonts w:hint="eastAsia" w:ascii="宋体" w:hAnsi="宋体" w:eastAsia="宋体"/>
                <w:color w:val="auto"/>
                <w:kern w:val="0"/>
                <w:sz w:val="24"/>
                <w:highlight w:val="none"/>
                <w:lang w:val="en-US" w:eastAsia="zh-CN"/>
              </w:rPr>
              <w:t>投标人或所投产品的</w:t>
            </w:r>
            <w:r>
              <w:rPr>
                <w:rFonts w:hint="eastAsia" w:ascii="宋体" w:hAnsi="宋体" w:eastAsia="宋体"/>
                <w:color w:val="auto"/>
                <w:kern w:val="0"/>
                <w:sz w:val="24"/>
                <w:highlight w:val="none"/>
              </w:rPr>
              <w:t>工作站</w:t>
            </w:r>
            <w:r>
              <w:rPr>
                <w:rFonts w:hint="eastAsia" w:ascii="宋体" w:hAnsi="宋体" w:eastAsia="宋体"/>
                <w:color w:val="auto"/>
                <w:kern w:val="0"/>
                <w:sz w:val="24"/>
                <w:highlight w:val="none"/>
                <w:lang w:val="en-US" w:eastAsia="zh-CN"/>
              </w:rPr>
              <w:t>厂家</w:t>
            </w:r>
            <w:r>
              <w:rPr>
                <w:rFonts w:hint="eastAsia" w:ascii="宋体" w:hAnsi="宋体" w:eastAsia="宋体"/>
                <w:color w:val="auto"/>
                <w:kern w:val="0"/>
                <w:sz w:val="24"/>
                <w:highlight w:val="none"/>
              </w:rPr>
              <w:t>具备国家信息安全服务资质证书（安全工程类一级）认证，得3分。</w:t>
            </w:r>
            <w:r>
              <w:rPr>
                <w:rFonts w:hint="eastAsia" w:ascii="宋体" w:hAnsi="宋体" w:eastAsia="宋体" w:cs="宋体"/>
                <w:b/>
                <w:bCs/>
                <w:color w:val="auto"/>
                <w:kern w:val="0"/>
                <w:sz w:val="24"/>
                <w:highlight w:val="none"/>
                <w:lang w:val="en-US" w:eastAsia="zh-CN"/>
              </w:rPr>
              <w:t>注：须提供证书的复印件并加盖投标人公章。</w:t>
            </w:r>
          </w:p>
          <w:p w14:paraId="2C0B75A4">
            <w:pPr>
              <w:pStyle w:val="63"/>
              <w:adjustRightInd w:val="0"/>
              <w:snapToGrid w:val="0"/>
              <w:ind w:firstLine="0" w:firstLineChars="0"/>
              <w:outlineLvl w:val="9"/>
              <w:rPr>
                <w:rFonts w:ascii="宋体" w:hAnsi="宋体" w:eastAsia="宋体"/>
                <w:color w:val="auto"/>
                <w:kern w:val="0"/>
                <w:sz w:val="24"/>
                <w:highlight w:val="none"/>
              </w:rPr>
            </w:pPr>
            <w:r>
              <w:rPr>
                <w:rFonts w:hint="eastAsia" w:ascii="宋体" w:hAnsi="宋体" w:eastAsia="宋体"/>
                <w:color w:val="auto"/>
                <w:kern w:val="0"/>
                <w:sz w:val="24"/>
                <w:highlight w:val="none"/>
              </w:rPr>
              <w:t>2</w:t>
            </w:r>
            <w:r>
              <w:rPr>
                <w:rFonts w:ascii="宋体" w:hAnsi="宋体" w:eastAsia="宋体"/>
                <w:color w:val="auto"/>
                <w:kern w:val="0"/>
                <w:sz w:val="24"/>
                <w:highlight w:val="none"/>
              </w:rPr>
              <w:t>.</w:t>
            </w:r>
            <w:r>
              <w:rPr>
                <w:rFonts w:hint="eastAsia" w:ascii="宋体" w:hAnsi="宋体" w:eastAsia="宋体"/>
                <w:color w:val="auto"/>
                <w:kern w:val="0"/>
                <w:sz w:val="24"/>
                <w:highlight w:val="none"/>
                <w:lang w:val="en-US" w:eastAsia="zh-CN"/>
              </w:rPr>
              <w:t>投标人或所投产品的</w:t>
            </w:r>
            <w:r>
              <w:rPr>
                <w:rFonts w:hint="eastAsia" w:ascii="宋体" w:hAnsi="宋体" w:eastAsia="宋体"/>
                <w:color w:val="auto"/>
                <w:kern w:val="0"/>
                <w:sz w:val="24"/>
                <w:highlight w:val="none"/>
              </w:rPr>
              <w:t>工作站</w:t>
            </w:r>
            <w:r>
              <w:rPr>
                <w:rFonts w:hint="eastAsia" w:ascii="宋体" w:hAnsi="宋体" w:eastAsia="宋体"/>
                <w:color w:val="auto"/>
                <w:kern w:val="0"/>
                <w:sz w:val="24"/>
                <w:highlight w:val="none"/>
                <w:lang w:val="en-US" w:eastAsia="zh-CN"/>
              </w:rPr>
              <w:t>厂家</w:t>
            </w:r>
            <w:r>
              <w:rPr>
                <w:rFonts w:hint="eastAsia" w:ascii="宋体" w:hAnsi="宋体" w:eastAsia="宋体"/>
                <w:color w:val="auto"/>
                <w:kern w:val="0"/>
                <w:sz w:val="24"/>
                <w:highlight w:val="none"/>
              </w:rPr>
              <w:t>通过中国合格评定国家认可委员会（CNAS）可靠性实验室认证，得3分。</w:t>
            </w:r>
            <w:r>
              <w:rPr>
                <w:rFonts w:hint="eastAsia" w:ascii="宋体" w:hAnsi="宋体" w:eastAsia="宋体" w:cs="宋体"/>
                <w:b/>
                <w:bCs/>
                <w:color w:val="auto"/>
                <w:kern w:val="0"/>
                <w:sz w:val="24"/>
                <w:highlight w:val="none"/>
                <w:lang w:val="en-US" w:eastAsia="zh-CN"/>
              </w:rPr>
              <w:t>注：须提供证书的复印件并加盖投标人公章。</w:t>
            </w:r>
          </w:p>
          <w:p w14:paraId="6F9A67C3">
            <w:pPr>
              <w:pStyle w:val="63"/>
              <w:adjustRightInd w:val="0"/>
              <w:snapToGrid w:val="0"/>
              <w:ind w:firstLine="0" w:firstLineChars="0"/>
              <w:outlineLvl w:val="9"/>
              <w:rPr>
                <w:rFonts w:hint="eastAsia" w:ascii="宋体" w:hAnsi="宋体" w:eastAsia="宋体"/>
                <w:color w:val="auto"/>
                <w:kern w:val="0"/>
                <w:sz w:val="24"/>
                <w:highlight w:val="none"/>
              </w:rPr>
            </w:pPr>
            <w:r>
              <w:rPr>
                <w:rFonts w:hint="eastAsia" w:ascii="宋体" w:hAnsi="宋体" w:eastAsia="宋体"/>
                <w:color w:val="auto"/>
                <w:kern w:val="0"/>
                <w:sz w:val="24"/>
                <w:highlight w:val="none"/>
              </w:rPr>
              <w:t>3</w:t>
            </w:r>
            <w:r>
              <w:rPr>
                <w:rFonts w:ascii="宋体" w:hAnsi="宋体" w:eastAsia="宋体"/>
                <w:color w:val="auto"/>
                <w:kern w:val="0"/>
                <w:sz w:val="24"/>
                <w:highlight w:val="none"/>
              </w:rPr>
              <w:t>.</w:t>
            </w:r>
            <w:r>
              <w:rPr>
                <w:rFonts w:hint="eastAsia" w:ascii="宋体" w:hAnsi="宋体" w:eastAsia="宋体"/>
                <w:color w:val="auto"/>
                <w:kern w:val="0"/>
                <w:sz w:val="24"/>
                <w:highlight w:val="none"/>
                <w:lang w:val="en-US" w:eastAsia="zh-CN"/>
              </w:rPr>
              <w:t>投标人或所投产品的</w:t>
            </w:r>
            <w:r>
              <w:rPr>
                <w:rFonts w:hint="eastAsia" w:ascii="宋体" w:hAnsi="宋体" w:eastAsia="宋体"/>
                <w:color w:val="auto"/>
                <w:kern w:val="0"/>
                <w:sz w:val="24"/>
                <w:highlight w:val="none"/>
              </w:rPr>
              <w:t>工作站</w:t>
            </w:r>
            <w:r>
              <w:rPr>
                <w:rFonts w:hint="eastAsia" w:ascii="宋体" w:hAnsi="宋体" w:eastAsia="宋体"/>
                <w:color w:val="auto"/>
                <w:kern w:val="0"/>
                <w:sz w:val="24"/>
                <w:highlight w:val="none"/>
                <w:lang w:val="en-US" w:eastAsia="zh-CN"/>
              </w:rPr>
              <w:t>厂家</w:t>
            </w:r>
            <w:r>
              <w:rPr>
                <w:rFonts w:hint="eastAsia" w:ascii="宋体" w:hAnsi="宋体" w:eastAsia="宋体"/>
                <w:color w:val="auto"/>
                <w:kern w:val="0"/>
                <w:sz w:val="24"/>
                <w:highlight w:val="none"/>
              </w:rPr>
              <w:t>获得高新技术企业认证证书的得4分。</w:t>
            </w:r>
            <w:r>
              <w:rPr>
                <w:rFonts w:hint="eastAsia" w:ascii="宋体" w:hAnsi="宋体" w:eastAsia="宋体" w:cs="宋体"/>
                <w:b/>
                <w:bCs/>
                <w:color w:val="auto"/>
                <w:kern w:val="0"/>
                <w:sz w:val="24"/>
                <w:highlight w:val="none"/>
                <w:lang w:val="en-US" w:eastAsia="zh-CN"/>
              </w:rPr>
              <w:t>注：须提供有效证书、证明材料的复印件并加盖投标人公章。</w:t>
            </w:r>
          </w:p>
        </w:tc>
        <w:tc>
          <w:tcPr>
            <w:tcW w:w="831" w:type="pct"/>
            <w:tcBorders>
              <w:top w:val="single" w:color="auto" w:sz="4" w:space="0"/>
              <w:left w:val="single" w:color="auto" w:sz="4" w:space="0"/>
              <w:right w:val="single" w:color="auto" w:sz="4" w:space="0"/>
            </w:tcBorders>
            <w:vAlign w:val="center"/>
          </w:tcPr>
          <w:p w14:paraId="4489FB55">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0-10</w:t>
            </w:r>
            <w:r>
              <w:rPr>
                <w:rFonts w:hint="eastAsia" w:asciiTheme="minorEastAsia" w:hAnsiTheme="minorEastAsia" w:eastAsiaTheme="minorEastAsia"/>
                <w:b/>
                <w:bCs/>
                <w:color w:val="auto"/>
                <w:sz w:val="24"/>
                <w:highlight w:val="none"/>
                <w:lang w:val="en-US"/>
              </w:rPr>
              <w:t>分</w:t>
            </w:r>
          </w:p>
        </w:tc>
      </w:tr>
      <w:tr w14:paraId="414F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restart"/>
            <w:tcBorders>
              <w:left w:val="single" w:color="auto" w:sz="4" w:space="0"/>
              <w:right w:val="single" w:color="auto" w:sz="4" w:space="0"/>
            </w:tcBorders>
            <w:vAlign w:val="center"/>
          </w:tcPr>
          <w:p w14:paraId="0C6C9F1F">
            <w:pPr>
              <w:widowControl/>
              <w:adjustRightInd w:val="0"/>
              <w:snapToGrid w:val="0"/>
              <w:spacing w:line="360" w:lineRule="auto"/>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技术分</w:t>
            </w:r>
          </w:p>
          <w:p w14:paraId="67C8A1D7">
            <w:pPr>
              <w:widowControl/>
              <w:adjustRightInd w:val="0"/>
              <w:snapToGrid w:val="0"/>
              <w:spacing w:line="360" w:lineRule="auto"/>
              <w:jc w:val="center"/>
              <w:outlineLvl w:val="9"/>
              <w:rPr>
                <w:rFonts w:asciiTheme="minorEastAsia" w:hAnsiTheme="minorEastAsia" w:eastAsiaTheme="minorEastAsia"/>
                <w:b/>
                <w:bCs/>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50</w:t>
            </w:r>
            <w:r>
              <w:rPr>
                <w:rFonts w:hint="eastAsia" w:ascii="宋体" w:hAnsi="宋体" w:eastAsia="宋体" w:cs="宋体"/>
                <w:color w:val="auto"/>
                <w:kern w:val="0"/>
                <w:sz w:val="24"/>
                <w:highlight w:val="none"/>
              </w:rPr>
              <w:t>分）</w:t>
            </w:r>
          </w:p>
        </w:tc>
        <w:tc>
          <w:tcPr>
            <w:tcW w:w="4325" w:type="pct"/>
            <w:gridSpan w:val="3"/>
            <w:tcBorders>
              <w:top w:val="single" w:color="auto" w:sz="4" w:space="0"/>
              <w:left w:val="single" w:color="auto" w:sz="4" w:space="0"/>
              <w:bottom w:val="single" w:color="auto" w:sz="4" w:space="0"/>
              <w:right w:val="single" w:color="auto" w:sz="4" w:space="0"/>
            </w:tcBorders>
            <w:vAlign w:val="center"/>
          </w:tcPr>
          <w:p w14:paraId="6ECBE899">
            <w:pPr>
              <w:spacing w:line="360" w:lineRule="auto"/>
              <w:jc w:val="center"/>
              <w:outlineLvl w:val="9"/>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技术标评审</w:t>
            </w:r>
          </w:p>
        </w:tc>
      </w:tr>
      <w:tr w14:paraId="65FF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continue"/>
            <w:tcBorders>
              <w:left w:val="single" w:color="auto" w:sz="4" w:space="0"/>
              <w:right w:val="single" w:color="auto" w:sz="4" w:space="0"/>
            </w:tcBorders>
            <w:vAlign w:val="center"/>
          </w:tcPr>
          <w:p w14:paraId="44DE7E61">
            <w:pPr>
              <w:spacing w:line="360" w:lineRule="auto"/>
              <w:ind w:firstLine="435"/>
              <w:jc w:val="center"/>
              <w:outlineLvl w:val="9"/>
              <w:rPr>
                <w:rFonts w:asciiTheme="minorEastAsia" w:hAnsiTheme="minorEastAsia" w:eastAsiaTheme="minorEastAsia"/>
                <w:b/>
                <w:bCs/>
                <w:color w:val="auto"/>
                <w:sz w:val="24"/>
                <w:highlight w:val="none"/>
              </w:rPr>
            </w:pPr>
          </w:p>
        </w:tc>
        <w:tc>
          <w:tcPr>
            <w:tcW w:w="792" w:type="pct"/>
            <w:tcBorders>
              <w:top w:val="single" w:color="auto" w:sz="4" w:space="0"/>
              <w:left w:val="single" w:color="auto" w:sz="4" w:space="0"/>
              <w:bottom w:val="single" w:color="auto" w:sz="4" w:space="0"/>
              <w:right w:val="single" w:color="auto" w:sz="4" w:space="0"/>
            </w:tcBorders>
            <w:vAlign w:val="center"/>
          </w:tcPr>
          <w:p w14:paraId="7A882ECF">
            <w:pPr>
              <w:widowControl/>
              <w:adjustRightInd w:val="0"/>
              <w:snapToGrid w:val="0"/>
              <w:spacing w:line="360" w:lineRule="auto"/>
              <w:jc w:val="center"/>
              <w:outlineLvl w:val="9"/>
              <w:rPr>
                <w:rFonts w:asciiTheme="minorEastAsia" w:hAnsiTheme="minorEastAsia" w:eastAsiaTheme="minorEastAsia"/>
                <w:color w:val="auto"/>
                <w:sz w:val="24"/>
                <w:highlight w:val="none"/>
              </w:rPr>
            </w:pPr>
            <w:r>
              <w:rPr>
                <w:rFonts w:hint="eastAsia" w:ascii="宋体" w:hAnsi="宋体" w:eastAsia="宋体" w:cs="宋体"/>
                <w:color w:val="auto"/>
                <w:kern w:val="0"/>
                <w:sz w:val="24"/>
                <w:highlight w:val="none"/>
              </w:rPr>
              <w:t>技术参数响应情况</w:t>
            </w:r>
          </w:p>
        </w:tc>
        <w:tc>
          <w:tcPr>
            <w:tcW w:w="2701" w:type="pct"/>
            <w:tcBorders>
              <w:top w:val="single" w:color="auto" w:sz="4" w:space="0"/>
              <w:left w:val="single" w:color="auto" w:sz="4" w:space="0"/>
              <w:bottom w:val="single" w:color="auto" w:sz="4" w:space="0"/>
              <w:right w:val="single" w:color="auto" w:sz="4" w:space="0"/>
            </w:tcBorders>
            <w:vAlign w:val="center"/>
          </w:tcPr>
          <w:p w14:paraId="1FEA950B">
            <w:pPr>
              <w:pStyle w:val="63"/>
              <w:adjustRightInd w:val="0"/>
              <w:snapToGrid w:val="0"/>
              <w:ind w:firstLine="0" w:firstLineChars="0"/>
              <w:outlineLvl w:val="9"/>
              <w:rPr>
                <w:rFonts w:hint="default" w:ascii="宋体" w:hAnsi="宋体" w:eastAsia="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w:t>
            </w:r>
            <w:r>
              <w:rPr>
                <w:rFonts w:hint="eastAsia" w:ascii="宋体" w:hAnsi="宋体" w:eastAsia="宋体"/>
                <w:color w:val="auto"/>
                <w:kern w:val="0"/>
                <w:sz w:val="24"/>
                <w:highlight w:val="none"/>
                <w:lang w:val="en-US" w:eastAsia="zh-CN"/>
              </w:rPr>
              <w:t>标注“</w:t>
            </w:r>
            <w:r>
              <w:rPr>
                <w:rFonts w:hint="eastAsia" w:ascii="宋体" w:hAnsi="宋体" w:eastAsia="宋体"/>
                <w:color w:val="auto"/>
                <w:kern w:val="0"/>
                <w:sz w:val="24"/>
                <w:highlight w:val="none"/>
              </w:rPr>
              <w:t>★</w:t>
            </w:r>
            <w:r>
              <w:rPr>
                <w:rFonts w:hint="eastAsia" w:ascii="宋体" w:hAnsi="宋体" w:eastAsia="宋体"/>
                <w:color w:val="auto"/>
                <w:kern w:val="0"/>
                <w:sz w:val="24"/>
                <w:highlight w:val="none"/>
                <w:lang w:val="en-US" w:eastAsia="zh-CN"/>
              </w:rPr>
              <w:t>”符号的</w:t>
            </w:r>
            <w:r>
              <w:rPr>
                <w:rFonts w:hint="eastAsia" w:ascii="宋体" w:hAnsi="宋体" w:eastAsia="宋体"/>
                <w:color w:val="auto"/>
                <w:kern w:val="0"/>
                <w:sz w:val="24"/>
                <w:highlight w:val="none"/>
              </w:rPr>
              <w:t>参数为实际需求参数必须全部满足</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lang w:val="en-US" w:eastAsia="zh-CN"/>
              </w:rPr>
              <w:t>每有一项不响应或负偏离的作废标处理。</w:t>
            </w:r>
          </w:p>
          <w:p w14:paraId="1879A663">
            <w:pPr>
              <w:pStyle w:val="63"/>
              <w:adjustRightInd w:val="0"/>
              <w:snapToGrid w:val="0"/>
              <w:ind w:firstLine="0" w:firstLineChars="0"/>
              <w:outlineLvl w:val="9"/>
              <w:rPr>
                <w:rFonts w:asciiTheme="minorEastAsia" w:hAnsiTheme="minorEastAsia" w:eastAsiaTheme="minorEastAsia"/>
                <w:color w:val="auto"/>
                <w:sz w:val="24"/>
                <w:highlight w:val="none"/>
              </w:rPr>
            </w:pPr>
            <w:r>
              <w:rPr>
                <w:rFonts w:hint="eastAsia" w:ascii="宋体" w:hAnsi="宋体" w:eastAsia="宋体" w:cs="宋体"/>
                <w:color w:val="auto"/>
                <w:kern w:val="0"/>
                <w:sz w:val="24"/>
                <w:highlight w:val="none"/>
              </w:rPr>
              <w:t>②</w:t>
            </w:r>
            <w:r>
              <w:rPr>
                <w:rFonts w:hint="eastAsia" w:ascii="宋体" w:hAnsi="宋体" w:eastAsia="宋体" w:cs="宋体"/>
                <w:color w:val="auto"/>
                <w:kern w:val="0"/>
                <w:sz w:val="24"/>
                <w:highlight w:val="none"/>
                <w:lang w:val="en-US" w:eastAsia="zh-CN"/>
              </w:rPr>
              <w:t>未</w:t>
            </w:r>
            <w:r>
              <w:rPr>
                <w:rFonts w:hint="eastAsia" w:ascii="宋体" w:hAnsi="宋体" w:eastAsia="宋体"/>
                <w:color w:val="auto"/>
                <w:kern w:val="0"/>
                <w:sz w:val="24"/>
                <w:highlight w:val="none"/>
                <w:lang w:val="en-US" w:eastAsia="zh-CN"/>
              </w:rPr>
              <w:t>标注“</w:t>
            </w:r>
            <w:r>
              <w:rPr>
                <w:rFonts w:hint="eastAsia" w:ascii="宋体" w:hAnsi="宋体" w:eastAsia="宋体"/>
                <w:color w:val="auto"/>
                <w:kern w:val="0"/>
                <w:sz w:val="24"/>
                <w:highlight w:val="none"/>
              </w:rPr>
              <w:t>★</w:t>
            </w:r>
            <w:r>
              <w:rPr>
                <w:rFonts w:hint="eastAsia" w:ascii="宋体" w:hAnsi="宋体" w:eastAsia="宋体"/>
                <w:color w:val="auto"/>
                <w:kern w:val="0"/>
                <w:sz w:val="24"/>
                <w:highlight w:val="none"/>
                <w:lang w:val="en-US" w:eastAsia="zh-CN"/>
              </w:rPr>
              <w:t>”符号的</w:t>
            </w:r>
            <w:r>
              <w:rPr>
                <w:rFonts w:hint="eastAsia" w:ascii="宋体" w:hAnsi="宋体" w:eastAsia="宋体"/>
                <w:color w:val="auto"/>
                <w:kern w:val="0"/>
                <w:sz w:val="24"/>
                <w:highlight w:val="none"/>
              </w:rPr>
              <w:t>参数完全满足</w:t>
            </w:r>
            <w:r>
              <w:rPr>
                <w:rFonts w:hint="eastAsia" w:ascii="宋体" w:hAnsi="宋体" w:eastAsia="宋体"/>
                <w:color w:val="auto"/>
                <w:kern w:val="0"/>
                <w:sz w:val="24"/>
                <w:highlight w:val="none"/>
                <w:lang w:val="en-US" w:eastAsia="zh-CN"/>
              </w:rPr>
              <w:t>或优于</w:t>
            </w:r>
            <w:r>
              <w:rPr>
                <w:rFonts w:hint="eastAsia" w:ascii="宋体" w:hAnsi="宋体" w:eastAsia="宋体"/>
                <w:color w:val="auto"/>
                <w:kern w:val="0"/>
                <w:sz w:val="24"/>
                <w:highlight w:val="none"/>
              </w:rPr>
              <w:t>采购文件要求的，得</w:t>
            </w:r>
            <w:r>
              <w:rPr>
                <w:rFonts w:hint="eastAsia" w:ascii="宋体" w:hAnsi="宋体" w:eastAsia="宋体"/>
                <w:color w:val="auto"/>
                <w:kern w:val="0"/>
                <w:sz w:val="24"/>
                <w:highlight w:val="none"/>
                <w:lang w:val="en-US" w:eastAsia="zh-CN"/>
              </w:rPr>
              <w:t>40</w:t>
            </w:r>
            <w:r>
              <w:rPr>
                <w:rFonts w:hint="eastAsia" w:ascii="宋体" w:hAnsi="宋体" w:eastAsia="宋体"/>
                <w:color w:val="auto"/>
                <w:kern w:val="0"/>
                <w:sz w:val="24"/>
                <w:highlight w:val="none"/>
              </w:rPr>
              <w:t>分， 每有一项</w:t>
            </w:r>
            <w:r>
              <w:rPr>
                <w:rFonts w:hint="eastAsia" w:ascii="宋体" w:hAnsi="宋体" w:eastAsia="宋体"/>
                <w:color w:val="auto"/>
                <w:kern w:val="0"/>
                <w:sz w:val="24"/>
                <w:highlight w:val="none"/>
                <w:lang w:val="en-US" w:eastAsia="zh-CN"/>
              </w:rPr>
              <w:t>不响应或</w:t>
            </w:r>
            <w:r>
              <w:rPr>
                <w:rFonts w:hint="eastAsia" w:ascii="宋体" w:hAnsi="宋体" w:eastAsia="宋体"/>
                <w:color w:val="auto"/>
                <w:kern w:val="0"/>
                <w:sz w:val="24"/>
                <w:highlight w:val="none"/>
              </w:rPr>
              <w:t>负偏离的扣5分</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rPr>
              <w:t xml:space="preserve">扣完为止。 </w:t>
            </w:r>
            <w:r>
              <w:rPr>
                <w:rFonts w:hint="eastAsia" w:ascii="宋体" w:hAnsi="宋体" w:eastAsia="宋体" w:cs="宋体"/>
                <w:b/>
                <w:bCs/>
                <w:color w:val="auto"/>
                <w:kern w:val="0"/>
                <w:sz w:val="24"/>
                <w:highlight w:val="none"/>
              </w:rPr>
              <w:t>注：</w:t>
            </w:r>
            <w:r>
              <w:rPr>
                <w:rFonts w:hint="eastAsia" w:ascii="宋体" w:hAnsi="宋体" w:eastAsia="宋体" w:cs="宋体"/>
                <w:b/>
                <w:bCs/>
                <w:color w:val="auto"/>
                <w:kern w:val="0"/>
                <w:sz w:val="24"/>
                <w:highlight w:val="none"/>
                <w:lang w:val="en-US" w:eastAsia="zh-CN"/>
              </w:rPr>
              <w:t>投标人需填写技术参数响应表，明确技术参数是否响应，如与招标文件技术参数条款不一致应在表中列出正（或负）偏离，对技术参数响应表中明确不响应的，按负偏离处理，不在评审对应的证明材料。</w:t>
            </w:r>
          </w:p>
        </w:tc>
        <w:tc>
          <w:tcPr>
            <w:tcW w:w="831" w:type="pct"/>
            <w:tcBorders>
              <w:top w:val="single" w:color="auto" w:sz="4" w:space="0"/>
              <w:left w:val="single" w:color="auto" w:sz="4" w:space="0"/>
              <w:bottom w:val="single" w:color="auto" w:sz="4" w:space="0"/>
              <w:right w:val="single" w:color="auto" w:sz="4" w:space="0"/>
            </w:tcBorders>
            <w:vAlign w:val="center"/>
          </w:tcPr>
          <w:p w14:paraId="6B88F91C">
            <w:pPr>
              <w:widowControl/>
              <w:adjustRightInd w:val="0"/>
              <w:snapToGrid w:val="0"/>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0-40</w:t>
            </w:r>
            <w:r>
              <w:rPr>
                <w:rFonts w:hint="eastAsia" w:asciiTheme="minorEastAsia" w:hAnsiTheme="minorEastAsia" w:eastAsiaTheme="minorEastAsia"/>
                <w:b/>
                <w:bCs/>
                <w:color w:val="auto"/>
                <w:sz w:val="24"/>
                <w:highlight w:val="none"/>
                <w:lang w:val="en-US"/>
              </w:rPr>
              <w:t>分</w:t>
            </w:r>
          </w:p>
        </w:tc>
      </w:tr>
      <w:tr w14:paraId="537D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continue"/>
            <w:tcBorders>
              <w:left w:val="single" w:color="auto" w:sz="4" w:space="0"/>
              <w:right w:val="single" w:color="auto" w:sz="4" w:space="0"/>
            </w:tcBorders>
            <w:vAlign w:val="center"/>
          </w:tcPr>
          <w:p w14:paraId="73274159">
            <w:pPr>
              <w:spacing w:line="360" w:lineRule="auto"/>
              <w:ind w:firstLine="435"/>
              <w:jc w:val="center"/>
              <w:outlineLvl w:val="9"/>
              <w:rPr>
                <w:rFonts w:asciiTheme="minorEastAsia" w:hAnsiTheme="minorEastAsia" w:eastAsiaTheme="minorEastAsia"/>
                <w:b/>
                <w:bCs/>
                <w:color w:val="auto"/>
                <w:sz w:val="24"/>
                <w:highlight w:val="none"/>
              </w:rPr>
            </w:pPr>
          </w:p>
        </w:tc>
        <w:tc>
          <w:tcPr>
            <w:tcW w:w="792" w:type="pct"/>
            <w:tcBorders>
              <w:top w:val="single" w:color="auto" w:sz="4" w:space="0"/>
              <w:left w:val="single" w:color="auto" w:sz="4" w:space="0"/>
              <w:bottom w:val="single" w:color="auto" w:sz="4" w:space="0"/>
              <w:right w:val="single" w:color="auto" w:sz="4" w:space="0"/>
            </w:tcBorders>
            <w:vAlign w:val="center"/>
          </w:tcPr>
          <w:p w14:paraId="73ECA4D8">
            <w:pPr>
              <w:widowControl/>
              <w:adjustRightInd w:val="0"/>
              <w:snapToGrid w:val="0"/>
              <w:spacing w:line="360" w:lineRule="auto"/>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项目实施</w:t>
            </w:r>
          </w:p>
          <w:p w14:paraId="5E520E46">
            <w:pPr>
              <w:widowControl/>
              <w:adjustRightInd w:val="0"/>
              <w:snapToGrid w:val="0"/>
              <w:spacing w:line="360" w:lineRule="auto"/>
              <w:jc w:val="center"/>
              <w:outlineLvl w:val="9"/>
              <w:rPr>
                <w:rFonts w:asciiTheme="minorEastAsia" w:hAnsiTheme="minorEastAsia" w:eastAsiaTheme="minorEastAsia"/>
                <w:color w:val="auto"/>
                <w:sz w:val="24"/>
                <w:highlight w:val="none"/>
              </w:rPr>
            </w:pPr>
            <w:r>
              <w:rPr>
                <w:rFonts w:hint="eastAsia" w:ascii="宋体" w:hAnsi="宋体" w:eastAsia="宋体" w:cs="宋体"/>
                <w:color w:val="auto"/>
                <w:kern w:val="0"/>
                <w:sz w:val="24"/>
                <w:highlight w:val="none"/>
              </w:rPr>
              <w:t>方案</w:t>
            </w:r>
          </w:p>
        </w:tc>
        <w:tc>
          <w:tcPr>
            <w:tcW w:w="2701" w:type="pct"/>
            <w:tcBorders>
              <w:top w:val="single" w:color="auto" w:sz="4" w:space="0"/>
              <w:left w:val="single" w:color="auto" w:sz="4" w:space="0"/>
              <w:bottom w:val="single" w:color="auto" w:sz="4" w:space="0"/>
              <w:right w:val="single" w:color="auto" w:sz="4" w:space="0"/>
            </w:tcBorders>
            <w:vAlign w:val="center"/>
          </w:tcPr>
          <w:p w14:paraId="23981491">
            <w:pPr>
              <w:pStyle w:val="30"/>
              <w:adjustRightInd w:val="0"/>
              <w:snapToGrid w:val="0"/>
              <w:spacing w:line="360" w:lineRule="auto"/>
              <w:ind w:firstLine="0" w:firstLineChars="0"/>
              <w:outlineLvl w:val="9"/>
              <w:rPr>
                <w:rFonts w:asciiTheme="minorEastAsia" w:hAnsiTheme="minorEastAsia" w:eastAsiaTheme="minorEastAsia"/>
                <w:color w:val="auto"/>
                <w:sz w:val="24"/>
                <w:highlight w:val="none"/>
              </w:rPr>
            </w:pPr>
            <w:r>
              <w:rPr>
                <w:rFonts w:hint="eastAsia" w:ascii="宋体" w:hAnsi="宋体" w:eastAsia="宋体" w:cs="宋体"/>
                <w:color w:val="auto"/>
                <w:sz w:val="24"/>
                <w:highlight w:val="none"/>
              </w:rPr>
              <w:t>实施方案主要内容</w:t>
            </w:r>
            <w:r>
              <w:rPr>
                <w:rFonts w:hint="eastAsia" w:ascii="宋体" w:hAnsi="宋体" w:eastAsia="宋体" w:cs="宋体"/>
                <w:color w:val="auto"/>
                <w:sz w:val="24"/>
                <w:highlight w:val="none"/>
                <w:lang w:val="en-US" w:eastAsia="zh-CN"/>
              </w:rPr>
              <w:t>包括但不限于</w:t>
            </w:r>
            <w:r>
              <w:rPr>
                <w:rFonts w:hint="eastAsia" w:ascii="宋体" w:hAnsi="宋体" w:eastAsia="宋体" w:cs="宋体"/>
                <w:color w:val="auto"/>
                <w:sz w:val="24"/>
                <w:highlight w:val="none"/>
              </w:rPr>
              <w:t>：保证项目实施的技术力量和人力资源安排，保证供货质量的措施，保证交货安装工期的方案和措施，安装、调试、验收的方案和措施，对本项目有效的改进措施和合理化建议。由评标委员会根据投标人技术方案的先进性、合理性、全面性等进行综合评分：</w:t>
            </w:r>
            <w:r>
              <w:rPr>
                <w:rFonts w:hint="eastAsia" w:ascii="宋体" w:hAnsi="宋体" w:eastAsia="宋体" w:cs="宋体"/>
                <w:color w:val="auto"/>
                <w:sz w:val="24"/>
                <w:highlight w:val="none"/>
                <w:lang w:val="en-US"/>
              </w:rPr>
              <w:t>优秀得</w:t>
            </w:r>
            <w:r>
              <w:rPr>
                <w:rFonts w:ascii="宋体" w:hAnsi="宋体" w:eastAsia="宋体" w:cs="宋体"/>
                <w:color w:val="auto"/>
                <w:sz w:val="24"/>
                <w:highlight w:val="none"/>
                <w:lang w:val="en-US"/>
              </w:rPr>
              <w:t>10</w:t>
            </w:r>
            <w:r>
              <w:rPr>
                <w:rFonts w:hint="eastAsia" w:ascii="宋体" w:hAnsi="宋体" w:eastAsia="宋体" w:cs="宋体"/>
                <w:color w:val="auto"/>
                <w:sz w:val="24"/>
                <w:highlight w:val="none"/>
                <w:lang w:val="en-US"/>
              </w:rPr>
              <w:t>分，良好得</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en-US"/>
              </w:rPr>
              <w:t>分，一般得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en-US"/>
              </w:rPr>
              <w:t>分，差得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rPr>
              <w:t>分，未提供相关内容得</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val="en-US"/>
              </w:rPr>
              <w:t>分。</w:t>
            </w:r>
          </w:p>
        </w:tc>
        <w:tc>
          <w:tcPr>
            <w:tcW w:w="831" w:type="pct"/>
            <w:tcBorders>
              <w:top w:val="single" w:color="auto" w:sz="4" w:space="0"/>
              <w:left w:val="single" w:color="auto" w:sz="4" w:space="0"/>
              <w:bottom w:val="single" w:color="auto" w:sz="4" w:space="0"/>
              <w:right w:val="single" w:color="auto" w:sz="4" w:space="0"/>
            </w:tcBorders>
            <w:vAlign w:val="center"/>
          </w:tcPr>
          <w:p w14:paraId="17EEA58B">
            <w:pPr>
              <w:widowControl/>
              <w:adjustRightInd w:val="0"/>
              <w:snapToGrid w:val="0"/>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0-10</w:t>
            </w:r>
            <w:r>
              <w:rPr>
                <w:rFonts w:hint="eastAsia" w:asciiTheme="minorEastAsia" w:hAnsiTheme="minorEastAsia" w:eastAsiaTheme="minorEastAsia"/>
                <w:b/>
                <w:bCs/>
                <w:color w:val="auto"/>
                <w:sz w:val="24"/>
                <w:highlight w:val="none"/>
                <w:lang w:val="en-US"/>
              </w:rPr>
              <w:t>分</w:t>
            </w:r>
          </w:p>
        </w:tc>
      </w:tr>
      <w:tr w14:paraId="506A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tcBorders>
              <w:left w:val="single" w:color="auto" w:sz="4" w:space="0"/>
              <w:right w:val="single" w:color="auto" w:sz="4" w:space="0"/>
            </w:tcBorders>
            <w:vAlign w:val="center"/>
          </w:tcPr>
          <w:p w14:paraId="04929232">
            <w:pPr>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5CC320AD">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rPr>
              <w:t>分）</w:t>
            </w:r>
          </w:p>
        </w:tc>
        <w:tc>
          <w:tcPr>
            <w:tcW w:w="4325" w:type="pct"/>
            <w:gridSpan w:val="3"/>
            <w:tcBorders>
              <w:top w:val="single" w:color="auto" w:sz="4" w:space="0"/>
              <w:left w:val="single" w:color="auto" w:sz="4" w:space="0"/>
              <w:bottom w:val="single" w:color="auto" w:sz="4" w:space="0"/>
              <w:right w:val="single" w:color="auto" w:sz="4" w:space="0"/>
            </w:tcBorders>
            <w:vAlign w:val="center"/>
          </w:tcPr>
          <w:p w14:paraId="3CDE977B">
            <w:pPr>
              <w:spacing w:line="360" w:lineRule="auto"/>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rPr>
              <w:t>分。其他投标人的价格分统一按照下列公式计算：投标报价得分＝（评标基准价/投标报价）×</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rPr>
              <w:t>％×100</w:t>
            </w:r>
          </w:p>
        </w:tc>
      </w:tr>
    </w:tbl>
    <w:p w14:paraId="35C2D088">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3509EF0F">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0579D41E">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r>
        <w:rPr>
          <w:rFonts w:asciiTheme="minorEastAsia" w:hAnsiTheme="minorEastAsia" w:eastAsiaTheme="minorEastAsia"/>
          <w:color w:val="auto"/>
          <w:sz w:val="24"/>
          <w:highlight w:val="none"/>
        </w:rPr>
        <w:br w:type="page"/>
      </w:r>
    </w:p>
    <w:p w14:paraId="7DEE87B6">
      <w:pPr>
        <w:spacing w:line="360" w:lineRule="auto"/>
        <w:jc w:val="center"/>
        <w:outlineLvl w:val="0"/>
        <w:rPr>
          <w:rFonts w:hint="eastAsia" w:asciiTheme="minorEastAsia" w:hAnsiTheme="minorEastAsia" w:eastAsiaTheme="minorEastAsia"/>
          <w:b/>
          <w:color w:val="auto"/>
          <w:sz w:val="28"/>
          <w:highlight w:val="none"/>
          <w:lang w:eastAsia="zh-CN"/>
        </w:rPr>
      </w:pPr>
      <w:bookmarkStart w:id="16" w:name="_Toc13673"/>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采购合同</w:t>
      </w:r>
      <w:bookmarkEnd w:id="16"/>
    </w:p>
    <w:p w14:paraId="28866270">
      <w:pPr>
        <w:numPr>
          <w:ilvl w:val="0"/>
          <w:numId w:val="1"/>
        </w:numPr>
        <w:spacing w:before="156" w:beforeLines="50" w:after="156" w:afterLines="50" w:line="440" w:lineRule="exact"/>
        <w:ind w:left="0" w:right="-92" w:rightChars="-44" w:firstLine="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bookmarkStart w:id="17" w:name="_Toc24395_WPSOffice_Level2"/>
      <w:bookmarkStart w:id="18" w:name="_Toc3809"/>
      <w:bookmarkStart w:id="19" w:name="_Toc6466"/>
      <w:r>
        <w:rPr>
          <w:rFonts w:hint="eastAsia" w:ascii="宋体" w:hAnsi="宋体" w:eastAsia="宋体" w:cs="宋体"/>
          <w:b/>
          <w:bCs/>
          <w:color w:val="auto"/>
          <w:sz w:val="24"/>
          <w:szCs w:val="24"/>
          <w:highlight w:val="none"/>
        </w:rPr>
        <w:t>合同协议书</w:t>
      </w:r>
      <w:bookmarkEnd w:id="17"/>
      <w:bookmarkEnd w:id="18"/>
      <w:bookmarkEnd w:id="19"/>
    </w:p>
    <w:p w14:paraId="170E0E53">
      <w:pPr>
        <w:spacing w:before="156" w:beforeLines="50" w:after="156" w:afterLines="50" w:line="440" w:lineRule="exact"/>
        <w:ind w:right="-92" w:rightChars="-44"/>
        <w:jc w:val="center"/>
        <w:outlineLvl w:val="9"/>
        <w:rPr>
          <w:rFonts w:hint="eastAsia" w:ascii="宋体" w:hAnsi="宋体" w:eastAsia="宋体" w:cs="宋体"/>
          <w:b/>
          <w:bCs/>
          <w:color w:val="auto"/>
          <w:sz w:val="24"/>
          <w:szCs w:val="24"/>
          <w:highlight w:val="none"/>
          <w:lang w:eastAsia="zh-CN"/>
        </w:rPr>
      </w:pPr>
      <w:bookmarkStart w:id="20" w:name="_Toc3154_WPSOffice_Level3"/>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编号</w:t>
      </w:r>
      <w:bookmarkEnd w:id="20"/>
      <w:r>
        <w:rPr>
          <w:rFonts w:hint="eastAsia" w:ascii="宋体" w:hAnsi="宋体" w:eastAsia="宋体" w:cs="宋体"/>
          <w:b/>
          <w:bCs/>
          <w:color w:val="auto"/>
          <w:sz w:val="24"/>
          <w:szCs w:val="24"/>
          <w:highlight w:val="none"/>
          <w:lang w:eastAsia="zh-CN"/>
        </w:rPr>
        <w:t>：</w:t>
      </w:r>
    </w:p>
    <w:p w14:paraId="39AEEBDB">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37D7CF73">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7028705E">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                                   住    所：</w:t>
      </w:r>
    </w:p>
    <w:p w14:paraId="482F03B0">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（买方）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中所需</w:t>
      </w:r>
      <w:r>
        <w:rPr>
          <w:rFonts w:hint="eastAsia" w:ascii="宋体" w:hAnsi="宋体" w:eastAsia="宋体" w:cs="宋体"/>
          <w:color w:val="auto"/>
          <w:sz w:val="24"/>
          <w:szCs w:val="24"/>
          <w:highlight w:val="none"/>
          <w:u w:val="single"/>
        </w:rPr>
        <w:t>（产品名称）</w:t>
      </w:r>
      <w:r>
        <w:rPr>
          <w:rFonts w:hint="eastAsia" w:ascii="宋体" w:hAnsi="宋体" w:eastAsia="宋体" w:cs="宋体"/>
          <w:color w:val="auto"/>
          <w:sz w:val="24"/>
          <w:szCs w:val="24"/>
          <w:highlight w:val="none"/>
        </w:rPr>
        <w:t xml:space="preserve"> 经公开招标，确定</w:t>
      </w:r>
      <w:r>
        <w:rPr>
          <w:rFonts w:hint="eastAsia" w:ascii="宋体" w:hAnsi="宋体" w:eastAsia="宋体" w:cs="宋体"/>
          <w:color w:val="auto"/>
          <w:sz w:val="24"/>
          <w:szCs w:val="24"/>
          <w:highlight w:val="none"/>
          <w:u w:val="single"/>
        </w:rPr>
        <w:t>（卖方）</w:t>
      </w:r>
      <w:r>
        <w:rPr>
          <w:rFonts w:hint="eastAsia" w:ascii="宋体" w:hAnsi="宋体" w:eastAsia="宋体" w:cs="宋体"/>
          <w:color w:val="auto"/>
          <w:sz w:val="24"/>
          <w:szCs w:val="24"/>
          <w:highlight w:val="none"/>
        </w:rPr>
        <w:t>为中标人。按照中华人民共和国合同法的规定，买卖双方同意按照下述的条款和条件，签署本合同。</w:t>
      </w:r>
    </w:p>
    <w:p w14:paraId="54CD2D2A">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1、本合同文件</w:t>
      </w:r>
    </w:p>
    <w:p w14:paraId="64D62498">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下列每一文件均应作为合同的组成部分进行阅读和解释：</w:t>
      </w:r>
    </w:p>
    <w:p w14:paraId="4CC5B012">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（1）招标文件（2）投标文件（3）中标通知书</w:t>
      </w:r>
    </w:p>
    <w:p w14:paraId="35819919">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（4）经双方确认进入合同的其它文件、补充条款或说明</w:t>
      </w:r>
    </w:p>
    <w:p w14:paraId="3ABACF24">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2、采购标的、数量、质量要求</w:t>
      </w:r>
    </w:p>
    <w:p w14:paraId="2D67BE70">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3.合同总价</w:t>
      </w:r>
    </w:p>
    <w:p w14:paraId="5607D994">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16DC293E">
      <w:pPr>
        <w:autoSpaceDN w:val="0"/>
        <w:spacing w:line="440" w:lineRule="exact"/>
        <w:ind w:right="-92" w:rightChars="-44"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4.付款方式：</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p>
    <w:p w14:paraId="314A2BF3">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5.合同供货（服务）期限及地点和方式：</w:t>
      </w:r>
    </w:p>
    <w:p w14:paraId="6A04BEFA">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6.验收要求及违约责任</w:t>
      </w:r>
    </w:p>
    <w:p w14:paraId="249178BA">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7.违约责任及解决争议方法</w:t>
      </w:r>
    </w:p>
    <w:p w14:paraId="6EFC89B1">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8.合同的生效</w:t>
      </w:r>
    </w:p>
    <w:p w14:paraId="2155F4FF">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合同经双方授权代表签署，买卖双方加盖印章之后生效。</w:t>
      </w:r>
    </w:p>
    <w:p w14:paraId="0214DC16">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rPr>
      </w:pPr>
    </w:p>
    <w:p w14:paraId="122D4874">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本合同一式     份，双方各执     份。</w:t>
      </w:r>
    </w:p>
    <w:p w14:paraId="0976BFA8">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买  方：                          卖  方：</w:t>
      </w:r>
    </w:p>
    <w:p w14:paraId="532AAF9E">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名  称：（盖章）                  名  称：（盖章）</w:t>
      </w:r>
    </w:p>
    <w:p w14:paraId="007A75CA">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法定代表人（或委托代理人）：      法定代表人（或委托代理人）：</w:t>
      </w:r>
    </w:p>
    <w:p w14:paraId="1537194D">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（签字）                        （签字）</w:t>
      </w:r>
    </w:p>
    <w:p w14:paraId="35351B80">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地    址：                        地    址：</w:t>
      </w:r>
    </w:p>
    <w:p w14:paraId="68CB1B06">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邮政编码：                        邮政编码：</w:t>
      </w:r>
    </w:p>
    <w:p w14:paraId="467920FC">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电    话：                        电    话：</w:t>
      </w:r>
    </w:p>
    <w:p w14:paraId="56D844B7">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开户银行：                        开户银行：</w:t>
      </w:r>
    </w:p>
    <w:p w14:paraId="6C2BD5ED">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none" w:color="000000"/>
        </w:rPr>
        <w:t>帐    号：                        帐    号：</w:t>
      </w:r>
    </w:p>
    <w:p w14:paraId="737D2C6F">
      <w:pPr>
        <w:spacing w:line="440" w:lineRule="exact"/>
        <w:ind w:right="-92" w:rightChars="-44" w:firstLine="482" w:firstLineChars="200"/>
        <w:jc w:val="center"/>
        <w:outlineLvl w:val="9"/>
        <w:rPr>
          <w:rFonts w:hint="eastAsia" w:ascii="宋体" w:hAnsi="宋体" w:eastAsia="宋体" w:cs="宋体"/>
          <w:b/>
          <w:color w:val="auto"/>
          <w:sz w:val="24"/>
          <w:szCs w:val="24"/>
          <w:highlight w:val="none"/>
        </w:rPr>
      </w:pPr>
    </w:p>
    <w:p w14:paraId="02042747">
      <w:pPr>
        <w:spacing w:line="440" w:lineRule="exact"/>
        <w:ind w:right="-92" w:rightChars="-44" w:firstLine="482" w:firstLineChars="200"/>
        <w:jc w:val="center"/>
        <w:outlineLvl w:val="9"/>
        <w:rPr>
          <w:rFonts w:hint="eastAsia" w:ascii="宋体" w:hAnsi="宋体" w:eastAsia="宋体" w:cs="宋体"/>
          <w:b/>
          <w:color w:val="auto"/>
          <w:sz w:val="24"/>
          <w:szCs w:val="24"/>
          <w:highlight w:val="none"/>
        </w:rPr>
      </w:pPr>
      <w:bookmarkStart w:id="21" w:name="_Toc15841"/>
      <w:bookmarkStart w:id="22" w:name="_Toc23933"/>
      <w:r>
        <w:rPr>
          <w:rFonts w:hint="eastAsia" w:ascii="宋体" w:hAnsi="宋体" w:eastAsia="宋体" w:cs="宋体"/>
          <w:b/>
          <w:color w:val="auto"/>
          <w:sz w:val="24"/>
          <w:szCs w:val="24"/>
          <w:highlight w:val="none"/>
        </w:rPr>
        <w:t>二  合同条款</w:t>
      </w:r>
      <w:bookmarkEnd w:id="21"/>
      <w:bookmarkEnd w:id="22"/>
    </w:p>
    <w:p w14:paraId="16C9D1F1">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合同文件</w:t>
      </w:r>
    </w:p>
    <w:p w14:paraId="42C04183">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1.合同文件适用法律</w:t>
      </w:r>
    </w:p>
    <w:p w14:paraId="10D4DD3F">
      <w:pPr>
        <w:spacing w:line="440" w:lineRule="exact"/>
        <w:ind w:right="-92" w:rightChars="-44"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适用于合同文件的法律是中华人民共和国现行法律、法规及采购人所在地的地方性法规。</w:t>
      </w:r>
    </w:p>
    <w:p w14:paraId="066DF1B7">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2.合同文件组成和解释顺序</w:t>
      </w:r>
    </w:p>
    <w:p w14:paraId="7B9608C0">
      <w:pPr>
        <w:spacing w:line="440" w:lineRule="exact"/>
        <w:ind w:right="-92" w:rightChars="-44"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(1)合同文件的组成和解释顺序如下：</w:t>
      </w:r>
    </w:p>
    <w:p w14:paraId="3B03BA35">
      <w:pPr>
        <w:spacing w:line="440" w:lineRule="exact"/>
        <w:ind w:right="-92" w:rightChars="-44"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&lt;1&gt;合同的主要条款；</w:t>
      </w:r>
    </w:p>
    <w:p w14:paraId="08C93246">
      <w:pPr>
        <w:spacing w:line="440" w:lineRule="exact"/>
        <w:ind w:right="-92" w:rightChars="-44"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&lt;2&gt;合同的一般性条款；</w:t>
      </w:r>
    </w:p>
    <w:p w14:paraId="28840F2F">
      <w:pPr>
        <w:spacing w:line="440" w:lineRule="exact"/>
        <w:ind w:right="-92" w:rightChars="-44"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&lt;3&gt;洽商、变更等明确双方权利义务的纪要、协议；</w:t>
      </w:r>
    </w:p>
    <w:p w14:paraId="69A44FFB">
      <w:pPr>
        <w:spacing w:line="440" w:lineRule="exact"/>
        <w:ind w:right="-92" w:rightChars="-44"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&lt;4&gt;中标通知书、投标文件和招标文件；</w:t>
      </w:r>
    </w:p>
    <w:p w14:paraId="740712B7">
      <w:pPr>
        <w:spacing w:line="440" w:lineRule="exact"/>
        <w:ind w:right="-92" w:rightChars="-44"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&lt;5&gt;有关图纸、标准、规范和其它有关技术资料、技术要求。</w:t>
      </w:r>
    </w:p>
    <w:p w14:paraId="71D92C1A">
      <w:pPr>
        <w:spacing w:line="440" w:lineRule="exact"/>
        <w:ind w:right="-92" w:rightChars="-44"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&lt;6&gt;合同的主要条款的效力优于合同的一般性条款的效力。</w:t>
      </w:r>
    </w:p>
    <w:p w14:paraId="1A29C2C4">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3.合同文件使用文字</w:t>
      </w:r>
    </w:p>
    <w:p w14:paraId="391849A1">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(1)合同文件使用中文书写、解释和说明。</w:t>
      </w:r>
    </w:p>
    <w:p w14:paraId="5408404D">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 xml:space="preserve">(2)合同文件使用技术性条款约定的为国家标准和规范；国家没有相应标准、规范时，可使用行业标准、规范。非标货物应按约定的技术性条款的标准和规范。 </w:t>
      </w:r>
    </w:p>
    <w:p w14:paraId="6CC12CBB">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  标的物的一般条款</w:t>
      </w:r>
    </w:p>
    <w:p w14:paraId="0D5715FE">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4.完整物权</w:t>
      </w:r>
    </w:p>
    <w:p w14:paraId="7383720D">
      <w:pPr>
        <w:tabs>
          <w:tab w:val="left" w:pos="660"/>
        </w:tabs>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对于出卖的标的物，卖方应当拥有完整物权，并且卖方负有保证第三人不得向买方主张任何权利（包括知识产权）的义务。</w:t>
      </w:r>
    </w:p>
    <w:p w14:paraId="1CEAFE1E">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5.质量保证</w:t>
      </w:r>
    </w:p>
    <w:p w14:paraId="1561D5E8">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156F4AA1">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5C0DEEB">
      <w:pPr>
        <w:pStyle w:val="6"/>
        <w:tabs>
          <w:tab w:val="left" w:pos="900"/>
        </w:tabs>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62D70A34">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6.包装</w:t>
      </w:r>
    </w:p>
    <w:p w14:paraId="0725265E">
      <w:pPr>
        <w:pStyle w:val="6"/>
        <w:tabs>
          <w:tab w:val="left" w:pos="900"/>
        </w:tabs>
        <w:spacing w:line="440" w:lineRule="exact"/>
        <w:ind w:right="-92" w:rightChars="-44" w:firstLine="540" w:firstLineChars="225"/>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51701891">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7.伴随服务</w:t>
      </w:r>
    </w:p>
    <w:p w14:paraId="607239CE">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(1)卖方除应履行按期按量交付合格标的物的义务之外，还应提供下列服务：</w:t>
      </w:r>
    </w:p>
    <w:p w14:paraId="4EBE5449">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&lt;1&gt;标的物的现场安装或指导安装、启动、调试、监督（如果必须安装、调试的话）；</w:t>
      </w:r>
    </w:p>
    <w:p w14:paraId="29EBBE38">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&lt;2&gt;提供标的物组装和一般维修所必须的工具；</w:t>
      </w:r>
    </w:p>
    <w:p w14:paraId="4CA32CE5">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&lt;3&gt;在合同规定的期限内对所提供标的物实行运行监督、维修服务的前提条件是该服务并不能免除卖方在质量保证期内所承担的义务；</w:t>
      </w:r>
    </w:p>
    <w:p w14:paraId="65CB469B">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&lt;4&gt;对买方技术人员的技术指导或培训。</w:t>
      </w:r>
    </w:p>
    <w:p w14:paraId="42D2B32A">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(2)除合同另有规定之外，伴随服务的费用均已含在合同价款中，买方不再另行进行支付。</w:t>
      </w:r>
    </w:p>
    <w:p w14:paraId="70D68991">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  标的物的交付、检验和验收</w:t>
      </w:r>
    </w:p>
    <w:p w14:paraId="7385BA50">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8.标的物的交付</w:t>
      </w:r>
    </w:p>
    <w:p w14:paraId="2F0874C5">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(1)标的物的所有权自标的物交付时转移。</w:t>
      </w:r>
    </w:p>
    <w:p w14:paraId="31BF6F7D">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(2)卖方应当按照约定的期限和约定的地点交付符合招标文件要求的标的物。</w:t>
      </w:r>
    </w:p>
    <w:p w14:paraId="039AD183">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(3)卖方应当按照约定或者交易习惯向采购人交付提取标的物单证以外的有关单证和资料。</w:t>
      </w:r>
    </w:p>
    <w:p w14:paraId="24E3F8CD">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9.检验和验收</w:t>
      </w:r>
    </w:p>
    <w:p w14:paraId="51503CA9">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6ECEA7AE">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(2)买方根据合同规定的内容和验收标准进行验收，经检验无误后出具验收合格证明，该证明作为最终付款所需文件的组成部分。</w:t>
      </w:r>
    </w:p>
    <w:p w14:paraId="405E4122">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(3)验收期限自标的物交付之日起三十天内。特殊情况需延长的，双方应在合同条款中约定。</w:t>
      </w:r>
    </w:p>
    <w:p w14:paraId="6F504BD6">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 对标的物提出异议的时间和办法</w:t>
      </w:r>
    </w:p>
    <w:p w14:paraId="2330754A">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10.对标的物提出异议的时间和办法 </w:t>
      </w:r>
    </w:p>
    <w:p w14:paraId="167997DB">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(1)买方在验收过程中，应当于双方约定的检验期间内将标的物的数量或质量不符合约定的情形及处理方式以书面形式通知卖方。</w:t>
      </w:r>
    </w:p>
    <w:p w14:paraId="12C01599">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(2)如买方在验收期满后既不出具验收合格证明又未提出书面异议的视为卖方所交标的物符合合同规定。</w:t>
      </w:r>
    </w:p>
    <w:p w14:paraId="614112AB">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(3)卖方应在收到买方书面异议后七天内负责处理问题，否则将视为默认买方提出的异议和处理意见。</w:t>
      </w:r>
    </w:p>
    <w:p w14:paraId="154F5004">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 合同价款和支付</w:t>
      </w:r>
    </w:p>
    <w:p w14:paraId="720A048F">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11.合同价款和支付</w:t>
      </w:r>
    </w:p>
    <w:p w14:paraId="2FF630B7">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(1)本合同的结算货币为人民币，单位元。</w:t>
      </w:r>
    </w:p>
    <w:p w14:paraId="3D4C0DAF">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(2)卖方应按照双方签订的合同规定交货并在合同主要条款规定的期限内持下列单据结算货款：</w:t>
      </w:r>
    </w:p>
    <w:p w14:paraId="1AAAB227">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&lt;1&gt;合格的销售发票；</w:t>
      </w:r>
    </w:p>
    <w:p w14:paraId="7F09348D">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&lt;2&gt;买方盖章签收后的送货回单和验收合格证明。</w:t>
      </w:r>
    </w:p>
    <w:p w14:paraId="0BB53FFE">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(3)买方应按合同主要条款规定的期限和方式付款。</w:t>
      </w:r>
    </w:p>
    <w:p w14:paraId="1870AA15">
      <w:pPr>
        <w:pStyle w:val="6"/>
        <w:tabs>
          <w:tab w:val="left" w:pos="540"/>
        </w:tabs>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(4)根据现行税法对买方征收的与本合同有关的一切税费均由买方承担；根据现行税法对卖方征收的与本合同有关的一切税费均由卖方承担。</w:t>
      </w:r>
    </w:p>
    <w:p w14:paraId="5B5897A4">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 违约责任</w:t>
      </w:r>
    </w:p>
    <w:p w14:paraId="51478B58">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12.违约责任</w:t>
      </w:r>
    </w:p>
    <w:p w14:paraId="15BAF567">
      <w:pPr>
        <w:pStyle w:val="6"/>
        <w:spacing w:line="440" w:lineRule="exact"/>
        <w:ind w:right="-92" w:rightChars="-44" w:firstLine="540" w:firstLineChars="225"/>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合同一方不履行合同义务或者履行合同义务不符合约定的，应当承担继续履行、采取补救措施或者赔偿损失等违约责任。</w:t>
      </w:r>
    </w:p>
    <w:p w14:paraId="3555617C">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13.买方违约责任</w:t>
      </w:r>
    </w:p>
    <w:p w14:paraId="38AAB4E8">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(1)在合同生效后，买方要求退货的，应向卖方偿付合同总价款的5%，作为违约金，违约金不足以补偿损失的，卖方有权要求甲方补足。</w:t>
      </w:r>
    </w:p>
    <w:p w14:paraId="3EF63ECA">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(2)买方逾期付款的应按照逾期付款金额的每天万分之四支付逾期付款违约金。</w:t>
      </w:r>
    </w:p>
    <w:p w14:paraId="0EB095D8">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(3)买方违反合同规定，拒绝接收卖方交付的符合招标文件要求的合格标的物，应当承担卖方由此造成的损失。</w:t>
      </w:r>
    </w:p>
    <w:p w14:paraId="7DEC258E">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14.卖方违约责任</w:t>
      </w:r>
    </w:p>
    <w:p w14:paraId="5DA717AE">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14:paraId="2B6424B6">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56258C25">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15.不可抗力</w:t>
      </w:r>
    </w:p>
    <w:p w14:paraId="4452FC11">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(1)因水灾、火灾、地震、战争等不可抗力不能履行合同的，根据不可抗力的影响，部分或者全部免除责任。但合同一方迟延履行后发生不可抗力的，不能免除责任。</w:t>
      </w:r>
    </w:p>
    <w:p w14:paraId="64CE4E27">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(2)合同一方因不可抗力不能履行合同的，应当及时通知对方，以减轻可能给对方造成的损失，并应当在合理期限内提供证明。</w:t>
      </w:r>
    </w:p>
    <w:p w14:paraId="032788A9">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 索赔</w:t>
      </w:r>
    </w:p>
    <w:p w14:paraId="3DC2C4AC">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16.索赔</w:t>
      </w:r>
    </w:p>
    <w:p w14:paraId="6085E57C">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(1)买方有权根据当地产品质量检验机构或其它有权威部门出具的检验证书向卖方提出索赔。</w:t>
      </w:r>
    </w:p>
    <w:p w14:paraId="4FF678F2">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(2)在本合同规定的检验期和质量保证期内，如果卖方对买方提出的索赔或差异有责任，则卖方应按买方同意的下列一种或多种方式解决索赔事宜：</w:t>
      </w:r>
    </w:p>
    <w:p w14:paraId="3E062490">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72130DA4">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&lt;2&gt;根据标的物的低劣程度、损坏程度以及甲方遭受损失的数额，经双方协商确定降低标的物的价格；</w:t>
      </w:r>
    </w:p>
    <w:p w14:paraId="46E0CC8C">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09413524">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09EA0E0E">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(4)买方提出索赔的书面材料应报当地政府采购管理部门备案。卖方同意的索赔方案应报当地政府采购管理部门审核。</w:t>
      </w:r>
    </w:p>
    <w:p w14:paraId="243C5EFA">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 履约保证金</w:t>
      </w:r>
    </w:p>
    <w:p w14:paraId="2CF61354">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17.履约保证金</w:t>
      </w:r>
    </w:p>
    <w:p w14:paraId="693EEADB">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(1)卖方应在本合同签订时，按招标文件的约定提供相应的履约保证金，保证金的有效期应不低于合同有效期。</w:t>
      </w:r>
    </w:p>
    <w:p w14:paraId="3E92D0A2">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(2)如果卖方未能履行合同规定的任何义务，买方有权从履约保证金中取得补偿。</w:t>
      </w:r>
    </w:p>
    <w:p w14:paraId="192CF925">
      <w:pPr>
        <w:pStyle w:val="6"/>
        <w:overflowPunct w:val="0"/>
        <w:spacing w:line="440" w:lineRule="exact"/>
        <w:ind w:right="-92" w:rightChars="-44" w:firstLine="0"/>
        <w:outlineLvl w:val="9"/>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九.  合同的解除和转让</w:t>
      </w:r>
    </w:p>
    <w:p w14:paraId="0229D6AC">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18.合同的解除</w:t>
      </w:r>
    </w:p>
    <w:p w14:paraId="213CBABA">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(1)买方和卖方协商一致，可以解除合同。</w:t>
      </w:r>
    </w:p>
    <w:p w14:paraId="69B812E1">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(2)有下列情形之一，合同一方可以解除合同：</w:t>
      </w:r>
    </w:p>
    <w:p w14:paraId="52547107">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&lt;1&gt;因不可抗力致使不能实现合同目的，未受不可抗力影响的一方有权解除合同；</w:t>
      </w:r>
    </w:p>
    <w:p w14:paraId="45C29D58">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&lt;2&gt;因合同一方违约导致合同不能履行，另一方有权解除合同。</w:t>
      </w:r>
    </w:p>
    <w:p w14:paraId="62694977">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(3)有权解除合同的一方，应当在违约事实或不可抗力发生之后三十天内书面通知对方以主张解除合同，合同在书面通知到达对方时解除。</w:t>
      </w:r>
    </w:p>
    <w:p w14:paraId="0B08093C">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19.合同的转让</w:t>
      </w:r>
    </w:p>
    <w:p w14:paraId="596182F6">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合同的部分和全部都不得转让。</w:t>
      </w:r>
    </w:p>
    <w:p w14:paraId="3E62BC14">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 合同的生效</w:t>
      </w:r>
    </w:p>
    <w:p w14:paraId="5177A3FC">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20.合同的生效</w:t>
      </w:r>
    </w:p>
    <w:p w14:paraId="2960C521">
      <w:pPr>
        <w:spacing w:line="440" w:lineRule="exact"/>
        <w:ind w:right="-92" w:rightChars="-44" w:firstLine="664" w:firstLineChars="27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本合同在双方签字盖章后生效。</w:t>
      </w:r>
    </w:p>
    <w:p w14:paraId="34FC0EF1">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 争议解决</w:t>
      </w:r>
    </w:p>
    <w:p w14:paraId="19444371">
      <w:pPr>
        <w:spacing w:line="440" w:lineRule="exact"/>
        <w:ind w:right="-92" w:rightChars="-44"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21.争议解决</w:t>
      </w:r>
    </w:p>
    <w:p w14:paraId="228E7B11">
      <w:pPr>
        <w:pStyle w:val="6"/>
        <w:overflowPunct w:val="0"/>
        <w:spacing w:line="440" w:lineRule="exact"/>
        <w:ind w:right="-92" w:rightChars="-44"/>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 xml:space="preserve"> 买卖双方因合同发生争议，进行调解，协商不成，可选择：</w:t>
      </w:r>
    </w:p>
    <w:p w14:paraId="38308F64">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(1)双方同时</w:t>
      </w:r>
      <w:r>
        <w:rPr>
          <w:rFonts w:hint="eastAsia" w:ascii="宋体" w:hAnsi="宋体" w:eastAsia="宋体" w:cs="宋体"/>
          <w:color w:val="auto"/>
          <w:sz w:val="24"/>
          <w:szCs w:val="24"/>
          <w:highlight w:val="none"/>
        </w:rPr>
        <w:t>将争议提交滁州仲裁委员会</w:t>
      </w:r>
      <w:r>
        <w:rPr>
          <w:rFonts w:hint="eastAsia" w:ascii="宋体" w:hAnsi="宋体" w:eastAsia="宋体" w:cs="宋体"/>
          <w:color w:val="auto"/>
          <w:sz w:val="24"/>
          <w:szCs w:val="24"/>
          <w:highlight w:val="none"/>
          <w:u w:val="none" w:color="000000"/>
        </w:rPr>
        <w:t>进行仲裁；</w:t>
      </w:r>
    </w:p>
    <w:p w14:paraId="418DC5F5">
      <w:pPr>
        <w:pStyle w:val="6"/>
        <w:tabs>
          <w:tab w:val="left" w:pos="900"/>
        </w:tabs>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(2)向买方所在地人民法院提起诉讼。</w:t>
      </w:r>
    </w:p>
    <w:p w14:paraId="5CAA6558">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 .附则</w:t>
      </w:r>
    </w:p>
    <w:p w14:paraId="5A0DE5D4">
      <w:pPr>
        <w:spacing w:line="440" w:lineRule="exact"/>
        <w:ind w:right="-92" w:rightChars="-44"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22.合同份数。</w:t>
      </w:r>
    </w:p>
    <w:p w14:paraId="4644C145">
      <w:pPr>
        <w:spacing w:line="440" w:lineRule="exact"/>
        <w:ind w:right="-92" w:rightChars="-44"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本合同一式陆份，买卖双方各执二份，招标代理机构一份，招标采购管理部门一份。</w:t>
      </w:r>
    </w:p>
    <w:p w14:paraId="6C271821">
      <w:pPr>
        <w:spacing w:line="440" w:lineRule="exact"/>
        <w:ind w:right="-92" w:rightChars="-44"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23.未尽事宜</w:t>
      </w:r>
    </w:p>
    <w:p w14:paraId="0AA718E5">
      <w:pPr>
        <w:spacing w:line="360" w:lineRule="auto"/>
        <w:ind w:firstLine="720" w:firstLineChars="3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w:t>
      </w:r>
    </w:p>
    <w:p w14:paraId="5E0BB175">
      <w:pPr>
        <w:spacing w:line="360" w:lineRule="auto"/>
        <w:ind w:firstLine="720" w:firstLineChars="300"/>
        <w:jc w:val="center"/>
        <w:outlineLvl w:val="9"/>
        <w:rPr>
          <w:rFonts w:hint="eastAsia" w:ascii="宋体" w:hAnsi="宋体" w:eastAsia="宋体" w:cs="宋体"/>
          <w:color w:val="auto"/>
          <w:sz w:val="24"/>
          <w:szCs w:val="24"/>
          <w:highlight w:val="none"/>
        </w:rPr>
      </w:pPr>
    </w:p>
    <w:p w14:paraId="3D94FD2C">
      <w:pPr>
        <w:spacing w:line="360" w:lineRule="auto"/>
        <w:ind w:firstLine="720" w:firstLineChars="300"/>
        <w:jc w:val="center"/>
        <w:outlineLvl w:val="0"/>
        <w:rPr>
          <w:rFonts w:hint="eastAsia" w:ascii="宋体" w:hAnsi="宋体" w:eastAsia="宋体" w:cs="宋体"/>
          <w:color w:val="auto"/>
          <w:sz w:val="24"/>
          <w:szCs w:val="24"/>
          <w:highlight w:val="none"/>
        </w:rPr>
      </w:pPr>
    </w:p>
    <w:p w14:paraId="4940BFF5">
      <w:pPr>
        <w:spacing w:line="360" w:lineRule="auto"/>
        <w:ind w:firstLine="720" w:firstLineChars="300"/>
        <w:jc w:val="center"/>
        <w:outlineLvl w:val="0"/>
        <w:rPr>
          <w:rFonts w:hint="eastAsia" w:ascii="宋体" w:hAnsi="宋体" w:eastAsia="宋体" w:cs="宋体"/>
          <w:color w:val="auto"/>
          <w:sz w:val="24"/>
          <w:szCs w:val="24"/>
          <w:highlight w:val="none"/>
        </w:rPr>
      </w:pPr>
    </w:p>
    <w:p w14:paraId="2A96CD14">
      <w:pPr>
        <w:spacing w:line="360" w:lineRule="auto"/>
        <w:ind w:firstLine="720" w:firstLineChars="300"/>
        <w:jc w:val="center"/>
        <w:outlineLvl w:val="0"/>
        <w:rPr>
          <w:rFonts w:hint="eastAsia" w:ascii="宋体" w:hAnsi="宋体" w:eastAsia="宋体" w:cs="宋体"/>
          <w:color w:val="auto"/>
          <w:sz w:val="24"/>
          <w:szCs w:val="24"/>
          <w:highlight w:val="none"/>
        </w:rPr>
      </w:pPr>
    </w:p>
    <w:p w14:paraId="3019EF2D">
      <w:pPr>
        <w:spacing w:line="360" w:lineRule="auto"/>
        <w:ind w:firstLine="720" w:firstLineChars="300"/>
        <w:jc w:val="center"/>
        <w:outlineLvl w:val="0"/>
        <w:rPr>
          <w:rFonts w:hint="eastAsia" w:ascii="宋体" w:hAnsi="宋体" w:eastAsia="宋体" w:cs="宋体"/>
          <w:color w:val="auto"/>
          <w:sz w:val="24"/>
          <w:szCs w:val="24"/>
          <w:highlight w:val="none"/>
        </w:rPr>
      </w:pPr>
    </w:p>
    <w:p w14:paraId="68EE1925">
      <w:pPr>
        <w:spacing w:line="360" w:lineRule="auto"/>
        <w:ind w:firstLine="720" w:firstLineChars="300"/>
        <w:jc w:val="center"/>
        <w:outlineLvl w:val="0"/>
        <w:rPr>
          <w:rFonts w:hint="eastAsia" w:ascii="宋体" w:hAnsi="宋体" w:eastAsia="宋体" w:cs="宋体"/>
          <w:color w:val="auto"/>
          <w:sz w:val="24"/>
          <w:szCs w:val="24"/>
          <w:highlight w:val="none"/>
        </w:rPr>
      </w:pPr>
    </w:p>
    <w:p w14:paraId="74E2C01F">
      <w:pPr>
        <w:spacing w:line="360" w:lineRule="auto"/>
        <w:ind w:firstLine="720" w:firstLineChars="300"/>
        <w:jc w:val="center"/>
        <w:outlineLvl w:val="0"/>
        <w:rPr>
          <w:rFonts w:hint="eastAsia" w:ascii="宋体" w:hAnsi="宋体" w:eastAsia="宋体" w:cs="宋体"/>
          <w:color w:val="auto"/>
          <w:sz w:val="24"/>
          <w:szCs w:val="24"/>
          <w:highlight w:val="none"/>
        </w:rPr>
      </w:pPr>
    </w:p>
    <w:p w14:paraId="1555600B">
      <w:pPr>
        <w:spacing w:line="360" w:lineRule="auto"/>
        <w:ind w:firstLine="720" w:firstLineChars="300"/>
        <w:jc w:val="center"/>
        <w:outlineLvl w:val="0"/>
        <w:rPr>
          <w:rFonts w:hint="eastAsia" w:ascii="宋体" w:hAnsi="宋体" w:eastAsia="宋体" w:cs="宋体"/>
          <w:color w:val="auto"/>
          <w:sz w:val="24"/>
          <w:szCs w:val="24"/>
          <w:highlight w:val="none"/>
        </w:rPr>
      </w:pPr>
    </w:p>
    <w:p w14:paraId="5288EB9A">
      <w:pPr>
        <w:spacing w:line="360" w:lineRule="auto"/>
        <w:ind w:firstLine="720" w:firstLineChars="300"/>
        <w:jc w:val="center"/>
        <w:outlineLvl w:val="0"/>
        <w:rPr>
          <w:rFonts w:hint="eastAsia" w:ascii="宋体" w:hAnsi="宋体" w:eastAsia="宋体" w:cs="宋体"/>
          <w:color w:val="auto"/>
          <w:sz w:val="24"/>
          <w:szCs w:val="24"/>
          <w:highlight w:val="none"/>
        </w:rPr>
      </w:pPr>
    </w:p>
    <w:p w14:paraId="6100CD78">
      <w:pPr>
        <w:pStyle w:val="30"/>
        <w:rPr>
          <w:rFonts w:hint="eastAsia" w:ascii="宋体" w:hAnsi="宋体" w:eastAsia="宋体" w:cs="宋体"/>
          <w:color w:val="auto"/>
          <w:sz w:val="24"/>
          <w:szCs w:val="24"/>
          <w:highlight w:val="none"/>
        </w:rPr>
      </w:pPr>
    </w:p>
    <w:p w14:paraId="6CAA6C6F">
      <w:pPr>
        <w:pStyle w:val="30"/>
        <w:rPr>
          <w:rFonts w:hint="eastAsia" w:ascii="宋体" w:hAnsi="宋体" w:eastAsia="宋体" w:cs="宋体"/>
          <w:color w:val="auto"/>
          <w:sz w:val="24"/>
          <w:szCs w:val="24"/>
          <w:highlight w:val="none"/>
        </w:rPr>
      </w:pPr>
    </w:p>
    <w:p w14:paraId="2502A076">
      <w:pPr>
        <w:pStyle w:val="30"/>
        <w:rPr>
          <w:rFonts w:hint="eastAsia" w:ascii="宋体" w:hAnsi="宋体" w:eastAsia="宋体" w:cs="宋体"/>
          <w:color w:val="auto"/>
          <w:sz w:val="24"/>
          <w:szCs w:val="24"/>
          <w:highlight w:val="none"/>
        </w:rPr>
      </w:pPr>
    </w:p>
    <w:p w14:paraId="212DC1B2">
      <w:pPr>
        <w:pStyle w:val="30"/>
        <w:rPr>
          <w:rFonts w:hint="eastAsia" w:ascii="宋体" w:hAnsi="宋体" w:eastAsia="宋体" w:cs="宋体"/>
          <w:color w:val="auto"/>
          <w:sz w:val="24"/>
          <w:szCs w:val="24"/>
          <w:highlight w:val="none"/>
        </w:rPr>
      </w:pPr>
    </w:p>
    <w:p w14:paraId="22142386">
      <w:pPr>
        <w:pStyle w:val="30"/>
        <w:rPr>
          <w:rFonts w:hint="eastAsia" w:ascii="宋体" w:hAnsi="宋体" w:eastAsia="宋体" w:cs="宋体"/>
          <w:color w:val="auto"/>
          <w:sz w:val="24"/>
          <w:szCs w:val="24"/>
          <w:highlight w:val="none"/>
        </w:rPr>
      </w:pPr>
    </w:p>
    <w:p w14:paraId="384C978B">
      <w:pPr>
        <w:pStyle w:val="30"/>
        <w:rPr>
          <w:rFonts w:hint="eastAsia" w:ascii="宋体" w:hAnsi="宋体" w:eastAsia="宋体" w:cs="宋体"/>
          <w:color w:val="auto"/>
          <w:sz w:val="24"/>
          <w:szCs w:val="24"/>
          <w:highlight w:val="none"/>
        </w:rPr>
      </w:pPr>
    </w:p>
    <w:p w14:paraId="2A603276">
      <w:pPr>
        <w:pStyle w:val="30"/>
        <w:rPr>
          <w:rFonts w:hint="eastAsia" w:ascii="宋体" w:hAnsi="宋体" w:eastAsia="宋体" w:cs="宋体"/>
          <w:color w:val="auto"/>
          <w:sz w:val="24"/>
          <w:szCs w:val="24"/>
          <w:highlight w:val="none"/>
        </w:rPr>
      </w:pPr>
    </w:p>
    <w:p w14:paraId="54046418">
      <w:pPr>
        <w:pStyle w:val="30"/>
        <w:rPr>
          <w:rFonts w:hint="eastAsia" w:ascii="宋体" w:hAnsi="宋体" w:eastAsia="宋体" w:cs="宋体"/>
          <w:color w:val="auto"/>
          <w:sz w:val="24"/>
          <w:szCs w:val="24"/>
          <w:highlight w:val="none"/>
        </w:rPr>
      </w:pPr>
    </w:p>
    <w:p w14:paraId="3DF1A990">
      <w:pPr>
        <w:pStyle w:val="30"/>
        <w:rPr>
          <w:rFonts w:hint="eastAsia" w:ascii="宋体" w:hAnsi="宋体" w:eastAsia="宋体" w:cs="宋体"/>
          <w:color w:val="auto"/>
          <w:sz w:val="24"/>
          <w:szCs w:val="24"/>
          <w:highlight w:val="none"/>
        </w:rPr>
      </w:pPr>
    </w:p>
    <w:p w14:paraId="665C0B97">
      <w:pPr>
        <w:pStyle w:val="30"/>
        <w:rPr>
          <w:rFonts w:hint="eastAsia" w:ascii="宋体" w:hAnsi="宋体" w:eastAsia="宋体" w:cs="宋体"/>
          <w:color w:val="auto"/>
          <w:sz w:val="24"/>
          <w:szCs w:val="24"/>
          <w:highlight w:val="none"/>
        </w:rPr>
      </w:pPr>
    </w:p>
    <w:p w14:paraId="7EE13A2F">
      <w:pPr>
        <w:pStyle w:val="30"/>
        <w:rPr>
          <w:rFonts w:hint="eastAsia" w:ascii="宋体" w:hAnsi="宋体" w:eastAsia="宋体" w:cs="宋体"/>
          <w:color w:val="auto"/>
          <w:sz w:val="24"/>
          <w:szCs w:val="24"/>
          <w:highlight w:val="none"/>
        </w:rPr>
      </w:pPr>
    </w:p>
    <w:p w14:paraId="3B8FC7FF">
      <w:pPr>
        <w:pStyle w:val="30"/>
        <w:rPr>
          <w:rFonts w:hint="eastAsia" w:ascii="宋体" w:hAnsi="宋体" w:eastAsia="宋体" w:cs="宋体"/>
          <w:color w:val="auto"/>
          <w:sz w:val="24"/>
          <w:szCs w:val="24"/>
          <w:highlight w:val="none"/>
        </w:rPr>
      </w:pPr>
    </w:p>
    <w:p w14:paraId="3AA5107A">
      <w:pPr>
        <w:pStyle w:val="30"/>
        <w:rPr>
          <w:rFonts w:hint="eastAsia" w:ascii="宋体" w:hAnsi="宋体" w:eastAsia="宋体" w:cs="宋体"/>
          <w:color w:val="auto"/>
          <w:sz w:val="24"/>
          <w:szCs w:val="24"/>
          <w:highlight w:val="none"/>
        </w:rPr>
      </w:pPr>
    </w:p>
    <w:p w14:paraId="5B164D4D">
      <w:pPr>
        <w:pStyle w:val="30"/>
        <w:rPr>
          <w:rFonts w:hint="eastAsia" w:ascii="宋体" w:hAnsi="宋体" w:eastAsia="宋体" w:cs="宋体"/>
          <w:color w:val="auto"/>
          <w:sz w:val="24"/>
          <w:szCs w:val="24"/>
          <w:highlight w:val="none"/>
        </w:rPr>
      </w:pPr>
    </w:p>
    <w:p w14:paraId="355AB51C">
      <w:pPr>
        <w:pStyle w:val="30"/>
        <w:outlineLvl w:val="9"/>
        <w:rPr>
          <w:rFonts w:hint="eastAsia" w:ascii="宋体" w:hAnsi="宋体" w:eastAsia="宋体" w:cs="宋体"/>
          <w:color w:val="auto"/>
          <w:sz w:val="24"/>
          <w:szCs w:val="24"/>
          <w:highlight w:val="none"/>
        </w:rPr>
      </w:pPr>
    </w:p>
    <w:p w14:paraId="0D916025">
      <w:pPr>
        <w:spacing w:line="360" w:lineRule="auto"/>
        <w:ind w:firstLine="720" w:firstLineChars="300"/>
        <w:jc w:val="center"/>
        <w:outlineLvl w:val="9"/>
        <w:rPr>
          <w:rFonts w:hint="eastAsia" w:ascii="宋体" w:hAnsi="宋体" w:eastAsia="宋体" w:cs="宋体"/>
          <w:color w:val="auto"/>
          <w:sz w:val="24"/>
          <w:szCs w:val="24"/>
          <w:highlight w:val="none"/>
        </w:rPr>
      </w:pPr>
    </w:p>
    <w:p w14:paraId="2A208DAE">
      <w:pPr>
        <w:spacing w:line="360" w:lineRule="auto"/>
        <w:ind w:firstLine="720" w:firstLineChars="300"/>
        <w:jc w:val="center"/>
        <w:outlineLvl w:val="9"/>
        <w:rPr>
          <w:rFonts w:hint="eastAsia" w:ascii="宋体" w:hAnsi="宋体" w:eastAsia="宋体" w:cs="宋体"/>
          <w:color w:val="auto"/>
          <w:sz w:val="24"/>
          <w:szCs w:val="24"/>
          <w:highlight w:val="none"/>
        </w:rPr>
      </w:pPr>
    </w:p>
    <w:p w14:paraId="553D1082">
      <w:pPr>
        <w:spacing w:line="360" w:lineRule="auto"/>
        <w:jc w:val="center"/>
        <w:outlineLvl w:val="0"/>
        <w:rPr>
          <w:rFonts w:asciiTheme="minorEastAsia" w:hAnsiTheme="minorEastAsia" w:eastAsiaTheme="minorEastAsia"/>
          <w:b/>
          <w:color w:val="auto"/>
          <w:sz w:val="28"/>
          <w:highlight w:val="none"/>
        </w:rPr>
      </w:pPr>
      <w:bookmarkStart w:id="23" w:name="_Toc18781"/>
      <w:r>
        <w:rPr>
          <w:rFonts w:hint="eastAsia" w:asciiTheme="minorEastAsia" w:hAnsiTheme="minorEastAsia" w:eastAsiaTheme="minorEastAsia"/>
          <w:b/>
          <w:color w:val="auto"/>
          <w:sz w:val="28"/>
          <w:highlight w:val="none"/>
        </w:rPr>
        <w:t>第六章  投标文件格式</w:t>
      </w:r>
      <w:bookmarkEnd w:id="23"/>
    </w:p>
    <w:p w14:paraId="0B02726C">
      <w:pPr>
        <w:keepNext w:val="0"/>
        <w:keepLines w:val="0"/>
        <w:widowControl w:val="0"/>
        <w:suppressLineNumbers w:val="0"/>
        <w:spacing w:before="0" w:beforeAutospacing="0" w:after="0" w:afterAutospacing="0"/>
        <w:ind w:left="0" w:right="0"/>
        <w:jc w:val="right"/>
        <w:outlineLvl w:val="9"/>
        <w:rPr>
          <w:rFonts w:hint="eastAsia" w:ascii="宋体" w:hAnsi="Times New Roman" w:eastAsia="宋体" w:cs="Times New Roman"/>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bidi="ar"/>
        </w:rPr>
        <w:t>注明正本或副本</w:t>
      </w:r>
    </w:p>
    <w:p w14:paraId="2396AEC6">
      <w:pPr>
        <w:keepNext w:val="0"/>
        <w:keepLines w:val="0"/>
        <w:widowControl w:val="0"/>
        <w:suppressLineNumbers w:val="0"/>
        <w:spacing w:before="0" w:beforeAutospacing="0" w:after="0" w:afterAutospacing="0"/>
        <w:ind w:left="0" w:right="0"/>
        <w:jc w:val="center"/>
        <w:outlineLvl w:val="9"/>
        <w:rPr>
          <w:rFonts w:hint="eastAsia" w:ascii="Times New Roman" w:hAnsi="Times New Roman" w:eastAsia="黑体" w:cs="Times New Roman"/>
          <w:color w:val="auto"/>
          <w:kern w:val="2"/>
          <w:sz w:val="20"/>
          <w:szCs w:val="20"/>
          <w:highlight w:val="none"/>
        </w:rPr>
      </w:pPr>
      <w:r>
        <w:rPr>
          <w:rFonts w:hint="eastAsia" w:ascii="Times New Roman" w:hAnsi="Times New Roman" w:eastAsia="黑体" w:cs="Times New Roman"/>
          <w:color w:val="auto"/>
          <w:kern w:val="2"/>
          <w:sz w:val="20"/>
          <w:szCs w:val="20"/>
          <w:highlight w:val="none"/>
          <w:lang w:val="en-US" w:eastAsia="zh-CN" w:bidi="ar"/>
        </w:rPr>
        <w:t xml:space="preserve"> </w:t>
      </w:r>
    </w:p>
    <w:p w14:paraId="5F5BF10E">
      <w:pPr>
        <w:keepNext w:val="0"/>
        <w:keepLines w:val="0"/>
        <w:widowControl w:val="0"/>
        <w:suppressLineNumbers w:val="0"/>
        <w:spacing w:before="0" w:beforeAutospacing="0" w:after="0" w:afterAutospacing="0"/>
        <w:ind w:left="0" w:right="0"/>
        <w:jc w:val="both"/>
        <w:outlineLvl w:val="9"/>
        <w:rPr>
          <w:rFonts w:hint="eastAsia" w:ascii="Times New Roman" w:hAnsi="Times New Roman" w:eastAsia="黑体" w:cs="Times New Roman"/>
          <w:color w:val="auto"/>
          <w:kern w:val="2"/>
          <w:sz w:val="20"/>
          <w:szCs w:val="20"/>
          <w:highlight w:val="none"/>
        </w:rPr>
      </w:pPr>
      <w:r>
        <w:rPr>
          <w:rFonts w:hint="eastAsia" w:ascii="Times New Roman" w:hAnsi="Times New Roman" w:eastAsia="黑体" w:cs="Times New Roman"/>
          <w:color w:val="auto"/>
          <w:kern w:val="2"/>
          <w:sz w:val="20"/>
          <w:szCs w:val="20"/>
          <w:highlight w:val="none"/>
          <w:lang w:val="en-US" w:eastAsia="zh-CN" w:bidi="ar"/>
        </w:rPr>
        <w:t xml:space="preserve"> </w:t>
      </w:r>
    </w:p>
    <w:p w14:paraId="72DA934A">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b/>
          <w:bCs w:val="0"/>
          <w:color w:val="auto"/>
          <w:kern w:val="2"/>
          <w:sz w:val="44"/>
          <w:szCs w:val="44"/>
          <w:highlight w:val="none"/>
        </w:rPr>
      </w:pPr>
      <w:r>
        <w:rPr>
          <w:rFonts w:hint="eastAsia" w:ascii="宋体" w:hAnsi="宋体" w:eastAsia="宋体" w:cs="Times New Roman"/>
          <w:b/>
          <w:bCs w:val="0"/>
          <w:color w:val="auto"/>
          <w:kern w:val="2"/>
          <w:sz w:val="44"/>
          <w:szCs w:val="44"/>
          <w:highlight w:val="none"/>
          <w:lang w:val="en-US" w:eastAsia="zh-CN" w:bidi="ar"/>
        </w:rPr>
        <w:t xml:space="preserve"> </w:t>
      </w:r>
      <w:r>
        <w:rPr>
          <w:rFonts w:hint="eastAsia" w:ascii="宋体" w:hAnsi="宋体" w:eastAsia="宋体" w:cs="宋体"/>
          <w:b/>
          <w:bCs w:val="0"/>
          <w:color w:val="auto"/>
          <w:kern w:val="2"/>
          <w:sz w:val="44"/>
          <w:szCs w:val="44"/>
          <w:highlight w:val="none"/>
          <w:lang w:val="en-US" w:eastAsia="zh-CN" w:bidi="ar"/>
        </w:rPr>
        <w:t>资格证明文件</w:t>
      </w:r>
    </w:p>
    <w:p w14:paraId="7928FD50">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（投标文件一）</w:t>
      </w:r>
    </w:p>
    <w:p w14:paraId="1EDFC026">
      <w:pPr>
        <w:keepNext w:val="0"/>
        <w:keepLines w:val="0"/>
        <w:widowControl w:val="0"/>
        <w:suppressLineNumbers w:val="0"/>
        <w:spacing w:before="0" w:beforeAutospacing="0" w:after="0" w:afterAutospacing="0"/>
        <w:ind w:left="0" w:right="0"/>
        <w:jc w:val="center"/>
        <w:outlineLvl w:val="9"/>
        <w:rPr>
          <w:rFonts w:hint="eastAsia" w:ascii="宋体" w:hAnsi="宋体" w:eastAsia="宋体" w:cs="Times New Roman"/>
          <w:color w:val="auto"/>
          <w:kern w:val="2"/>
          <w:sz w:val="44"/>
          <w:szCs w:val="44"/>
          <w:highlight w:val="none"/>
        </w:rPr>
      </w:pPr>
      <w:r>
        <w:rPr>
          <w:rFonts w:hint="eastAsia" w:ascii="宋体" w:hAnsi="宋体" w:eastAsia="宋体" w:cs="Times New Roman"/>
          <w:color w:val="auto"/>
          <w:kern w:val="2"/>
          <w:sz w:val="44"/>
          <w:szCs w:val="44"/>
          <w:highlight w:val="none"/>
          <w:lang w:val="en-US" w:eastAsia="zh-CN" w:bidi="ar"/>
        </w:rPr>
        <w:t xml:space="preserve"> </w:t>
      </w:r>
    </w:p>
    <w:p w14:paraId="3BAA7695">
      <w:pPr>
        <w:keepNext w:val="0"/>
        <w:keepLines w:val="0"/>
        <w:widowControl w:val="0"/>
        <w:suppressLineNumbers w:val="0"/>
        <w:spacing w:before="0" w:beforeAutospacing="0" w:after="0" w:afterAutospacing="0"/>
        <w:ind w:right="0" w:firstLine="3200" w:firstLineChars="1000"/>
        <w:jc w:val="both"/>
        <w:outlineLvl w:val="9"/>
        <w:rPr>
          <w:rFonts w:hint="eastAsia" w:ascii="宋体" w:hAnsi="宋体" w:eastAsia="宋体" w:cs="Times New Roman"/>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项目名称：</w:t>
      </w:r>
      <w:r>
        <w:rPr>
          <w:rFonts w:hint="eastAsia" w:ascii="宋体" w:hAnsi="宋体" w:eastAsia="宋体" w:cs="Times New Roman"/>
          <w:color w:val="auto"/>
          <w:kern w:val="2"/>
          <w:sz w:val="32"/>
          <w:szCs w:val="32"/>
          <w:highlight w:val="none"/>
          <w:u w:val="single"/>
          <w:lang w:val="en-US" w:eastAsia="zh-CN" w:bidi="ar"/>
        </w:rPr>
        <w:t xml:space="preserve">       </w:t>
      </w:r>
    </w:p>
    <w:p w14:paraId="5303C1D8">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110E46D7">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lang w:val="en-US" w:eastAsia="zh-CN" w:bidi="ar"/>
        </w:rPr>
      </w:pPr>
      <w:r>
        <w:rPr>
          <w:rFonts w:hint="eastAsia" w:ascii="宋体" w:hAnsi="宋体" w:eastAsia="宋体" w:cs="Times New Roman"/>
          <w:color w:val="auto"/>
          <w:kern w:val="2"/>
          <w:sz w:val="28"/>
          <w:szCs w:val="28"/>
          <w:highlight w:val="none"/>
          <w:lang w:val="en-US" w:eastAsia="zh-CN" w:bidi="ar"/>
        </w:rPr>
        <w:t xml:space="preserve"> </w:t>
      </w:r>
    </w:p>
    <w:p w14:paraId="2252B45B">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lang w:val="en-US" w:eastAsia="zh-CN" w:bidi="ar"/>
        </w:rPr>
      </w:pPr>
    </w:p>
    <w:p w14:paraId="2BD4CD48">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lang w:val="en-US" w:eastAsia="zh-CN" w:bidi="ar"/>
        </w:rPr>
      </w:pPr>
    </w:p>
    <w:p w14:paraId="597662F9">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lang w:val="en-US" w:eastAsia="zh-CN" w:bidi="ar"/>
        </w:rPr>
      </w:pPr>
    </w:p>
    <w:p w14:paraId="0BDC105F">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lang w:val="en-US" w:eastAsia="zh-CN" w:bidi="ar"/>
        </w:rPr>
      </w:pPr>
    </w:p>
    <w:p w14:paraId="4E575202">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7C0A21B9">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1DCF9276">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71063E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（盖单位章）</w:t>
      </w:r>
    </w:p>
    <w:p w14:paraId="4831E3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（签字或盖章）</w:t>
      </w:r>
    </w:p>
    <w:p w14:paraId="597DE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3BB25E46">
      <w:pPr>
        <w:keepNext w:val="0"/>
        <w:keepLines w:val="0"/>
        <w:widowControl w:val="0"/>
        <w:suppressLineNumbers w:val="0"/>
        <w:spacing w:before="0" w:beforeAutospacing="0" w:after="0" w:afterAutospacing="0" w:line="720" w:lineRule="auto"/>
        <w:ind w:left="0" w:right="0"/>
        <w:jc w:val="center"/>
        <w:outlineLvl w:val="9"/>
        <w:rPr>
          <w:rFonts w:hint="eastAsia" w:ascii="宋体" w:hAnsi="Times New Roman" w:eastAsia="宋体" w:cs="Times New Roman"/>
          <w:b/>
          <w:bCs w:val="0"/>
          <w:color w:val="auto"/>
          <w:kern w:val="2"/>
          <w:sz w:val="36"/>
          <w:szCs w:val="36"/>
          <w:highlight w:val="none"/>
        </w:rPr>
      </w:pPr>
      <w:r>
        <w:rPr>
          <w:rFonts w:hint="eastAsia" w:ascii="宋体" w:hAnsi="Times New Roman" w:eastAsia="宋体" w:cs="Times New Roman"/>
          <w:b/>
          <w:bCs w:val="0"/>
          <w:color w:val="auto"/>
          <w:kern w:val="2"/>
          <w:sz w:val="36"/>
          <w:szCs w:val="36"/>
          <w:highlight w:val="none"/>
          <w:lang w:val="en-US" w:eastAsia="zh-CN" w:bidi="ar"/>
        </w:rPr>
        <w:t xml:space="preserve"> </w:t>
      </w:r>
    </w:p>
    <w:p w14:paraId="3FE61CBE">
      <w:pPr>
        <w:pStyle w:val="64"/>
        <w:widowControl/>
        <w:outlineLvl w:val="9"/>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 xml:space="preserve"> </w:t>
      </w:r>
    </w:p>
    <w:p w14:paraId="4CA8BD00">
      <w:pPr>
        <w:keepNext w:val="0"/>
        <w:keepLines w:val="0"/>
        <w:widowControl w:val="0"/>
        <w:suppressLineNumbers w:val="0"/>
        <w:spacing w:before="0" w:beforeAutospacing="0" w:after="0" w:afterAutospacing="0"/>
        <w:ind w:left="0" w:right="0"/>
        <w:jc w:val="center"/>
        <w:outlineLvl w:val="9"/>
        <w:rPr>
          <w:rFonts w:hint="eastAsia" w:ascii="Times New Roman" w:hAnsi="Times New Roman" w:eastAsia="宋体" w:cs="Times New Roman"/>
          <w:b/>
          <w:bCs w:val="0"/>
          <w:color w:val="auto"/>
          <w:kern w:val="2"/>
          <w:sz w:val="44"/>
          <w:szCs w:val="44"/>
          <w:highlight w:val="none"/>
        </w:rPr>
      </w:pPr>
      <w:r>
        <w:rPr>
          <w:rFonts w:hint="eastAsia" w:ascii="宋体" w:hAnsi="宋体" w:eastAsia="宋体" w:cs="宋体"/>
          <w:b/>
          <w:bCs w:val="0"/>
          <w:color w:val="auto"/>
          <w:kern w:val="2"/>
          <w:sz w:val="36"/>
          <w:szCs w:val="36"/>
          <w:highlight w:val="none"/>
          <w:lang w:val="en-US" w:eastAsia="zh-CN" w:bidi="ar"/>
        </w:rPr>
        <w:t>目</w:t>
      </w:r>
      <w:r>
        <w:rPr>
          <w:rFonts w:hint="eastAsia" w:ascii="Times New Roman" w:hAnsi="Times New Roman" w:eastAsia="宋体" w:cs="Times New Roman"/>
          <w:b/>
          <w:bCs w:val="0"/>
          <w:color w:val="auto"/>
          <w:kern w:val="2"/>
          <w:sz w:val="36"/>
          <w:szCs w:val="36"/>
          <w:highlight w:val="none"/>
          <w:lang w:val="en-US" w:eastAsia="zh-CN" w:bidi="ar"/>
        </w:rPr>
        <w:t xml:space="preserve">   </w:t>
      </w:r>
      <w:r>
        <w:rPr>
          <w:rFonts w:hint="eastAsia" w:ascii="宋体" w:hAnsi="宋体" w:eastAsia="宋体" w:cs="宋体"/>
          <w:b/>
          <w:bCs w:val="0"/>
          <w:color w:val="auto"/>
          <w:kern w:val="2"/>
          <w:sz w:val="36"/>
          <w:szCs w:val="36"/>
          <w:highlight w:val="none"/>
          <w:lang w:val="en-US" w:eastAsia="zh-CN" w:bidi="ar"/>
        </w:rPr>
        <w:t>录</w:t>
      </w:r>
    </w:p>
    <w:p w14:paraId="214FF98F">
      <w:pPr>
        <w:keepNext w:val="0"/>
        <w:keepLines w:val="0"/>
        <w:widowControl w:val="0"/>
        <w:suppressLineNumbers w:val="0"/>
        <w:spacing w:before="0" w:beforeAutospacing="0" w:after="0" w:afterAutospacing="0" w:line="400" w:lineRule="exact"/>
        <w:ind w:left="0" w:right="0" w:firstLine="562" w:firstLineChars="200"/>
        <w:jc w:val="both"/>
        <w:outlineLvl w:val="9"/>
        <w:rPr>
          <w:rFonts w:hint="eastAsia" w:ascii="Times New Roman" w:hAnsi="Times New Roman" w:eastAsia="宋体" w:cs="Times New Roman"/>
          <w:b/>
          <w:bCs w:val="0"/>
          <w:color w:val="auto"/>
          <w:kern w:val="2"/>
          <w:sz w:val="28"/>
          <w:szCs w:val="28"/>
          <w:highlight w:val="none"/>
        </w:rPr>
      </w:pPr>
      <w:r>
        <w:rPr>
          <w:rFonts w:hint="eastAsia" w:ascii="Times New Roman" w:hAnsi="Times New Roman" w:eastAsia="宋体" w:cs="Times New Roman"/>
          <w:b/>
          <w:bCs w:val="0"/>
          <w:color w:val="auto"/>
          <w:kern w:val="2"/>
          <w:sz w:val="28"/>
          <w:szCs w:val="28"/>
          <w:highlight w:val="none"/>
          <w:lang w:val="en-US" w:eastAsia="zh-CN" w:bidi="ar"/>
        </w:rPr>
        <w:t xml:space="preserve"> </w:t>
      </w:r>
    </w:p>
    <w:p w14:paraId="7CB13F61">
      <w:pPr>
        <w:spacing w:line="360" w:lineRule="auto"/>
        <w:ind w:firstLine="484" w:firstLineChars="202"/>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（1）投标人资格声明书（格式见附件）；                                                                                                                                                                                                                                                                                                                                                                                                                                                                                                                                                                                                                                                                                                                                                                                                                                                                                                                                                                                                                                                                                                                                                                                                                                                                                                                                                                                                                                                                                                                                                                                             </w:t>
      </w:r>
    </w:p>
    <w:p w14:paraId="36D96805">
      <w:pPr>
        <w:spacing w:line="360" w:lineRule="auto"/>
        <w:ind w:firstLine="484" w:firstLineChars="202"/>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（2）授权书（格式见附件）；</w:t>
      </w:r>
    </w:p>
    <w:p w14:paraId="3CA52A26">
      <w:pPr>
        <w:spacing w:after="50" w:line="360" w:lineRule="auto"/>
        <w:ind w:right="-10" w:rightChars="0"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投标人为企业的，应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供有效的营业执照；投标人为事业单位的，应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32BD379A">
      <w:pPr>
        <w:spacing w:line="360" w:lineRule="auto"/>
        <w:ind w:firstLine="484" w:firstLineChars="202"/>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诚信投标承诺书（格式见附件）；</w:t>
      </w:r>
    </w:p>
    <w:p w14:paraId="41F78BAA">
      <w:pPr>
        <w:spacing w:line="360" w:lineRule="auto"/>
        <w:ind w:firstLine="484" w:firstLineChars="202"/>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招标文件中要求的资信评审和资信评分的支持资料；</w:t>
      </w:r>
    </w:p>
    <w:p w14:paraId="1EAEB70D">
      <w:pPr>
        <w:spacing w:line="360" w:lineRule="auto"/>
        <w:ind w:firstLine="484" w:firstLine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）投标人认为需要提供的其他资信证明材料；</w:t>
      </w:r>
    </w:p>
    <w:p w14:paraId="2FB125D8">
      <w:pPr>
        <w:spacing w:line="360" w:lineRule="auto"/>
        <w:ind w:firstLine="484" w:firstLine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）其他（如有）。</w:t>
      </w:r>
    </w:p>
    <w:p w14:paraId="3EF15653">
      <w:pPr>
        <w:keepNext w:val="0"/>
        <w:keepLines w:val="0"/>
        <w:widowControl w:val="0"/>
        <w:suppressLineNumbers w:val="0"/>
        <w:spacing w:before="0" w:beforeAutospacing="0" w:after="0" w:afterAutospacing="0" w:line="360" w:lineRule="auto"/>
        <w:ind w:left="0" w:right="0" w:firstLine="527" w:firstLineChars="250"/>
        <w:jc w:val="both"/>
        <w:outlineLvl w:val="9"/>
        <w:rPr>
          <w:rFonts w:hint="eastAsia" w:ascii="Times New Roman" w:hAnsi="Times New Roman" w:eastAsia="宋体" w:cs="Times New Roman"/>
          <w:b/>
          <w:bCs w:val="0"/>
          <w:color w:val="auto"/>
          <w:kern w:val="2"/>
          <w:sz w:val="21"/>
          <w:szCs w:val="21"/>
          <w:highlight w:val="none"/>
        </w:rPr>
      </w:pPr>
      <w:r>
        <w:rPr>
          <w:rFonts w:hint="eastAsia" w:ascii="Times New Roman" w:hAnsi="Times New Roman" w:eastAsia="宋体" w:cs="Times New Roman"/>
          <w:b/>
          <w:bCs w:val="0"/>
          <w:color w:val="auto"/>
          <w:kern w:val="2"/>
          <w:sz w:val="21"/>
          <w:szCs w:val="21"/>
          <w:highlight w:val="none"/>
          <w:lang w:val="en-US" w:eastAsia="zh-CN" w:bidi="ar"/>
        </w:rPr>
        <w:t xml:space="preserve"> </w:t>
      </w:r>
    </w:p>
    <w:p w14:paraId="5E85ED53">
      <w:pPr>
        <w:keepNext w:val="0"/>
        <w:keepLines w:val="0"/>
        <w:widowControl w:val="0"/>
        <w:suppressLineNumbers w:val="0"/>
        <w:spacing w:before="0" w:beforeAutospacing="0" w:after="0" w:afterAutospacing="0" w:line="400" w:lineRule="exact"/>
        <w:ind w:left="0" w:right="0" w:firstLine="562" w:firstLineChars="200"/>
        <w:jc w:val="both"/>
        <w:outlineLvl w:val="9"/>
        <w:rPr>
          <w:rFonts w:hint="eastAsia" w:ascii="Times New Roman" w:hAnsi="Times New Roman" w:eastAsia="宋体" w:cs="Times New Roman"/>
          <w:b/>
          <w:bCs w:val="0"/>
          <w:color w:val="auto"/>
          <w:kern w:val="2"/>
          <w:sz w:val="28"/>
          <w:szCs w:val="28"/>
          <w:highlight w:val="none"/>
        </w:rPr>
      </w:pPr>
      <w:r>
        <w:rPr>
          <w:rFonts w:hint="eastAsia" w:ascii="Times New Roman" w:hAnsi="Times New Roman" w:eastAsia="宋体" w:cs="Times New Roman"/>
          <w:b/>
          <w:bCs w:val="0"/>
          <w:color w:val="auto"/>
          <w:kern w:val="2"/>
          <w:sz w:val="28"/>
          <w:szCs w:val="28"/>
          <w:highlight w:val="none"/>
          <w:lang w:val="en-US" w:eastAsia="zh-CN" w:bidi="ar"/>
        </w:rPr>
        <w:t xml:space="preserve"> </w:t>
      </w:r>
    </w:p>
    <w:p w14:paraId="5C71DE99">
      <w:pPr>
        <w:keepNext w:val="0"/>
        <w:keepLines w:val="0"/>
        <w:widowControl w:val="0"/>
        <w:suppressLineNumbers w:val="0"/>
        <w:spacing w:before="0" w:beforeAutospacing="0" w:after="0" w:afterAutospacing="0" w:line="400" w:lineRule="exact"/>
        <w:ind w:left="0" w:right="0" w:firstLine="562" w:firstLineChars="200"/>
        <w:jc w:val="both"/>
        <w:outlineLvl w:val="9"/>
        <w:rPr>
          <w:rFonts w:hint="eastAsia" w:ascii="Times New Roman" w:hAnsi="Times New Roman" w:eastAsia="宋体" w:cs="Times New Roman"/>
          <w:b/>
          <w:bCs w:val="0"/>
          <w:color w:val="auto"/>
          <w:kern w:val="2"/>
          <w:sz w:val="28"/>
          <w:szCs w:val="28"/>
          <w:highlight w:val="none"/>
        </w:rPr>
      </w:pPr>
      <w:r>
        <w:rPr>
          <w:rFonts w:hint="eastAsia" w:ascii="Times New Roman" w:hAnsi="Times New Roman" w:eastAsia="宋体" w:cs="Times New Roman"/>
          <w:b/>
          <w:bCs w:val="0"/>
          <w:color w:val="auto"/>
          <w:kern w:val="2"/>
          <w:sz w:val="28"/>
          <w:szCs w:val="28"/>
          <w:highlight w:val="none"/>
          <w:lang w:val="en-US" w:eastAsia="zh-CN" w:bidi="ar"/>
        </w:rPr>
        <w:t xml:space="preserve"> </w:t>
      </w:r>
    </w:p>
    <w:p w14:paraId="0BB0B9B0">
      <w:pPr>
        <w:spacing w:line="360" w:lineRule="auto"/>
        <w:jc w:val="center"/>
        <w:outlineLvl w:val="9"/>
        <w:rPr>
          <w:rFonts w:hint="eastAsia" w:asciiTheme="minorEastAsia" w:hAnsiTheme="minorEastAsia" w:eastAsiaTheme="minorEastAsia"/>
          <w:b/>
          <w:color w:val="auto"/>
          <w:sz w:val="24"/>
          <w:highlight w:val="none"/>
        </w:rPr>
      </w:pPr>
    </w:p>
    <w:p w14:paraId="4AB9CF14">
      <w:pPr>
        <w:spacing w:line="360" w:lineRule="auto"/>
        <w:jc w:val="center"/>
        <w:outlineLvl w:val="9"/>
        <w:rPr>
          <w:rFonts w:hint="eastAsia" w:asciiTheme="minorEastAsia" w:hAnsiTheme="minorEastAsia" w:eastAsiaTheme="minorEastAsia"/>
          <w:b/>
          <w:color w:val="auto"/>
          <w:sz w:val="24"/>
          <w:highlight w:val="none"/>
        </w:rPr>
      </w:pPr>
    </w:p>
    <w:p w14:paraId="42D01F39">
      <w:pPr>
        <w:spacing w:line="360" w:lineRule="auto"/>
        <w:jc w:val="center"/>
        <w:outlineLvl w:val="9"/>
        <w:rPr>
          <w:rFonts w:hint="eastAsia" w:asciiTheme="minorEastAsia" w:hAnsiTheme="minorEastAsia" w:eastAsiaTheme="minorEastAsia"/>
          <w:b/>
          <w:color w:val="auto"/>
          <w:sz w:val="24"/>
          <w:highlight w:val="none"/>
        </w:rPr>
      </w:pPr>
    </w:p>
    <w:p w14:paraId="45225977">
      <w:pPr>
        <w:spacing w:line="360" w:lineRule="auto"/>
        <w:jc w:val="center"/>
        <w:outlineLvl w:val="9"/>
        <w:rPr>
          <w:rFonts w:hint="eastAsia" w:asciiTheme="minorEastAsia" w:hAnsiTheme="minorEastAsia" w:eastAsiaTheme="minorEastAsia"/>
          <w:b/>
          <w:color w:val="auto"/>
          <w:sz w:val="24"/>
          <w:highlight w:val="none"/>
        </w:rPr>
      </w:pPr>
    </w:p>
    <w:p w14:paraId="5F162375">
      <w:pPr>
        <w:spacing w:line="360" w:lineRule="auto"/>
        <w:jc w:val="center"/>
        <w:outlineLvl w:val="9"/>
        <w:rPr>
          <w:rFonts w:hint="eastAsia" w:asciiTheme="minorEastAsia" w:hAnsiTheme="minorEastAsia" w:eastAsiaTheme="minorEastAsia"/>
          <w:b/>
          <w:color w:val="auto"/>
          <w:sz w:val="24"/>
          <w:highlight w:val="none"/>
        </w:rPr>
      </w:pPr>
    </w:p>
    <w:p w14:paraId="59B879BF">
      <w:pPr>
        <w:spacing w:line="360" w:lineRule="auto"/>
        <w:jc w:val="center"/>
        <w:outlineLvl w:val="9"/>
        <w:rPr>
          <w:rFonts w:hint="eastAsia" w:asciiTheme="minorEastAsia" w:hAnsiTheme="minorEastAsia" w:eastAsiaTheme="minorEastAsia"/>
          <w:b/>
          <w:color w:val="auto"/>
          <w:sz w:val="24"/>
          <w:highlight w:val="none"/>
        </w:rPr>
      </w:pPr>
    </w:p>
    <w:p w14:paraId="325C1FDC">
      <w:pPr>
        <w:spacing w:line="360" w:lineRule="auto"/>
        <w:jc w:val="center"/>
        <w:outlineLvl w:val="9"/>
        <w:rPr>
          <w:rFonts w:hint="eastAsia" w:asciiTheme="minorEastAsia" w:hAnsiTheme="minorEastAsia" w:eastAsiaTheme="minorEastAsia"/>
          <w:b/>
          <w:color w:val="auto"/>
          <w:sz w:val="24"/>
          <w:highlight w:val="none"/>
        </w:rPr>
      </w:pPr>
    </w:p>
    <w:p w14:paraId="0C221F7C">
      <w:pPr>
        <w:spacing w:line="360" w:lineRule="auto"/>
        <w:jc w:val="center"/>
        <w:outlineLvl w:val="9"/>
        <w:rPr>
          <w:rFonts w:hint="eastAsia" w:asciiTheme="minorEastAsia" w:hAnsiTheme="minorEastAsia" w:eastAsiaTheme="minorEastAsia"/>
          <w:b/>
          <w:color w:val="auto"/>
          <w:sz w:val="24"/>
          <w:highlight w:val="none"/>
        </w:rPr>
      </w:pPr>
    </w:p>
    <w:p w14:paraId="541EF9E4">
      <w:pPr>
        <w:spacing w:line="360" w:lineRule="auto"/>
        <w:jc w:val="center"/>
        <w:outlineLvl w:val="9"/>
        <w:rPr>
          <w:rFonts w:hint="eastAsia" w:asciiTheme="minorEastAsia" w:hAnsiTheme="minorEastAsia" w:eastAsiaTheme="minorEastAsia"/>
          <w:b/>
          <w:color w:val="auto"/>
          <w:sz w:val="24"/>
          <w:highlight w:val="none"/>
        </w:rPr>
      </w:pPr>
    </w:p>
    <w:p w14:paraId="048181F3">
      <w:pPr>
        <w:spacing w:line="360" w:lineRule="auto"/>
        <w:jc w:val="center"/>
        <w:outlineLvl w:val="9"/>
        <w:rPr>
          <w:rFonts w:hint="eastAsia" w:asciiTheme="minorEastAsia" w:hAnsiTheme="minorEastAsia" w:eastAsiaTheme="minorEastAsia"/>
          <w:b/>
          <w:color w:val="auto"/>
          <w:sz w:val="24"/>
          <w:highlight w:val="none"/>
        </w:rPr>
      </w:pPr>
    </w:p>
    <w:p w14:paraId="7466636F">
      <w:pPr>
        <w:spacing w:line="360" w:lineRule="auto"/>
        <w:jc w:val="center"/>
        <w:outlineLvl w:val="9"/>
        <w:rPr>
          <w:rFonts w:hint="eastAsia" w:asciiTheme="minorEastAsia" w:hAnsiTheme="minorEastAsia" w:eastAsiaTheme="minorEastAsia"/>
          <w:b/>
          <w:color w:val="auto"/>
          <w:sz w:val="24"/>
          <w:highlight w:val="none"/>
        </w:rPr>
      </w:pPr>
    </w:p>
    <w:p w14:paraId="778A4918">
      <w:pPr>
        <w:spacing w:line="360" w:lineRule="auto"/>
        <w:jc w:val="center"/>
        <w:outlineLvl w:val="9"/>
        <w:rPr>
          <w:rFonts w:hint="eastAsia" w:asciiTheme="minorEastAsia" w:hAnsiTheme="minorEastAsia" w:eastAsiaTheme="minorEastAsia"/>
          <w:b/>
          <w:color w:val="auto"/>
          <w:sz w:val="24"/>
          <w:highlight w:val="none"/>
        </w:rPr>
      </w:pPr>
    </w:p>
    <w:p w14:paraId="02D4B331">
      <w:pPr>
        <w:spacing w:line="360" w:lineRule="auto"/>
        <w:jc w:val="center"/>
        <w:outlineLvl w:val="9"/>
        <w:rPr>
          <w:rFonts w:hint="eastAsia" w:asciiTheme="minorEastAsia" w:hAnsiTheme="minorEastAsia" w:eastAsiaTheme="minorEastAsia"/>
          <w:b/>
          <w:color w:val="auto"/>
          <w:sz w:val="24"/>
          <w:highlight w:val="none"/>
        </w:rPr>
      </w:pPr>
    </w:p>
    <w:p w14:paraId="494CE88E">
      <w:pPr>
        <w:spacing w:line="360" w:lineRule="auto"/>
        <w:jc w:val="center"/>
        <w:outlineLvl w:val="9"/>
        <w:rPr>
          <w:rFonts w:hint="eastAsia" w:asciiTheme="minorEastAsia" w:hAnsiTheme="minorEastAsia" w:eastAsiaTheme="minorEastAsia"/>
          <w:b/>
          <w:color w:val="auto"/>
          <w:sz w:val="24"/>
          <w:highlight w:val="none"/>
        </w:rPr>
      </w:pPr>
    </w:p>
    <w:p w14:paraId="6831ABD2">
      <w:pPr>
        <w:spacing w:line="360" w:lineRule="auto"/>
        <w:jc w:val="center"/>
        <w:outlineLvl w:val="9"/>
        <w:rPr>
          <w:rFonts w:hint="eastAsia" w:asciiTheme="minorEastAsia" w:hAnsiTheme="minorEastAsia" w:eastAsiaTheme="minorEastAsia"/>
          <w:b/>
          <w:color w:val="auto"/>
          <w:sz w:val="24"/>
          <w:highlight w:val="none"/>
        </w:rPr>
      </w:pPr>
    </w:p>
    <w:p w14:paraId="5F3171AD">
      <w:pPr>
        <w:pStyle w:val="30"/>
        <w:outlineLvl w:val="9"/>
        <w:rPr>
          <w:rFonts w:hint="eastAsia" w:asciiTheme="minorEastAsia" w:hAnsiTheme="minorEastAsia" w:eastAsiaTheme="minorEastAsia"/>
          <w:b/>
          <w:color w:val="auto"/>
          <w:sz w:val="24"/>
          <w:highlight w:val="none"/>
        </w:rPr>
      </w:pPr>
    </w:p>
    <w:p w14:paraId="3756FA55">
      <w:pPr>
        <w:pStyle w:val="30"/>
        <w:outlineLvl w:val="9"/>
        <w:rPr>
          <w:rFonts w:hint="eastAsia" w:asciiTheme="minorEastAsia" w:hAnsiTheme="minorEastAsia" w:eastAsiaTheme="minorEastAsia"/>
          <w:b/>
          <w:color w:val="auto"/>
          <w:sz w:val="24"/>
          <w:highlight w:val="none"/>
        </w:rPr>
      </w:pPr>
    </w:p>
    <w:p w14:paraId="34F822D8">
      <w:pPr>
        <w:spacing w:line="360" w:lineRule="auto"/>
        <w:jc w:val="center"/>
        <w:outlineLvl w:val="9"/>
        <w:rPr>
          <w:rFonts w:hint="eastAsia" w:asciiTheme="minorEastAsia" w:hAnsiTheme="minorEastAsia" w:eastAsiaTheme="minorEastAsia"/>
          <w:b/>
          <w:color w:val="auto"/>
          <w:sz w:val="24"/>
          <w:highlight w:val="none"/>
        </w:rPr>
      </w:pPr>
    </w:p>
    <w:p w14:paraId="05D1079F">
      <w:pPr>
        <w:spacing w:line="360" w:lineRule="auto"/>
        <w:jc w:val="center"/>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一、投标人资格声明书 </w:t>
      </w:r>
    </w:p>
    <w:p w14:paraId="3F1E0A4C">
      <w:pPr>
        <w:pStyle w:val="12"/>
        <w:spacing w:line="360" w:lineRule="auto"/>
        <w:outlineLvl w:val="9"/>
        <w:rPr>
          <w:rFonts w:asciiTheme="minorEastAsia" w:hAnsiTheme="minorEastAsia" w:cstheme="minorEastAsia"/>
          <w:color w:val="auto"/>
          <w:sz w:val="24"/>
          <w:szCs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7E7DCD89">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在参与本次项目投标中，我单位承诺：</w:t>
      </w:r>
    </w:p>
    <w:p w14:paraId="3B430F5C">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（一）具有良好的商业信誉和健全的财务会计制度；</w:t>
      </w:r>
    </w:p>
    <w:p w14:paraId="16B10960">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（二）具有履行合同所必需的设备和专业技术能力；</w:t>
      </w:r>
    </w:p>
    <w:p w14:paraId="20C17042">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（三）有依法缴纳税收和社会保障资金的良好记录；</w:t>
      </w:r>
    </w:p>
    <w:p w14:paraId="37FC5949">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6FA2008">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（五）我单位不属于政府采购法律、行政法规规定的公益一类事业单位、或使用事业编制且由财政拨款保障的群团组织（仅适用于政府购买服务项目）； </w:t>
      </w:r>
    </w:p>
    <w:p w14:paraId="24ABBCEF">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（六）我单位不存在为采购项目提供整体设计、规范编制或者项目管理、监理、检测等服务后，再参加该采购项目的其他采购活动的情形（单一来源采购项目除外）；</w:t>
      </w:r>
    </w:p>
    <w:p w14:paraId="6B7BD11F">
      <w:pPr>
        <w:widowControl/>
        <w:spacing w:line="360" w:lineRule="auto"/>
        <w:ind w:firstLine="480" w:firstLineChars="200"/>
        <w:jc w:val="left"/>
        <w:outlineLvl w:val="9"/>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（七）与我单位存在单位负责人为同一人或者存在直接控股、管理关系的其他法人单位信息如下（如有，不论其是否参加同一合同项下的政府采购活动均须填写）：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088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8128A3A">
            <w:pPr>
              <w:keepNext w:val="0"/>
              <w:keepLines w:val="0"/>
              <w:widowControl/>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序号</w:t>
            </w:r>
          </w:p>
        </w:tc>
        <w:tc>
          <w:tcPr>
            <w:tcW w:w="2841" w:type="dxa"/>
          </w:tcPr>
          <w:p w14:paraId="4A4D7F34">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单位名称</w:t>
            </w:r>
          </w:p>
        </w:tc>
        <w:tc>
          <w:tcPr>
            <w:tcW w:w="2841" w:type="dxa"/>
          </w:tcPr>
          <w:p w14:paraId="1A15C735">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相互关系</w:t>
            </w:r>
          </w:p>
        </w:tc>
      </w:tr>
      <w:tr w14:paraId="4381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CFB8878">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1</w:t>
            </w:r>
          </w:p>
        </w:tc>
        <w:tc>
          <w:tcPr>
            <w:tcW w:w="2841" w:type="dxa"/>
          </w:tcPr>
          <w:p w14:paraId="28AF08D6">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p>
        </w:tc>
        <w:tc>
          <w:tcPr>
            <w:tcW w:w="2841" w:type="dxa"/>
          </w:tcPr>
          <w:p w14:paraId="5DF2B7C8">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p>
        </w:tc>
      </w:tr>
      <w:tr w14:paraId="629E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4D1386D">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2</w:t>
            </w:r>
          </w:p>
        </w:tc>
        <w:tc>
          <w:tcPr>
            <w:tcW w:w="2841" w:type="dxa"/>
          </w:tcPr>
          <w:p w14:paraId="796E8A48">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p>
        </w:tc>
        <w:tc>
          <w:tcPr>
            <w:tcW w:w="2841" w:type="dxa"/>
          </w:tcPr>
          <w:p w14:paraId="20BBE072">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p>
        </w:tc>
      </w:tr>
    </w:tbl>
    <w:p w14:paraId="6DC9487E">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5DEEE928">
      <w:pPr>
        <w:spacing w:line="360" w:lineRule="auto"/>
        <w:ind w:firstLine="4800" w:firstLineChars="2000"/>
        <w:outlineLvl w:val="9"/>
        <w:rPr>
          <w:rFonts w:ascii="宋体" w:hAnsi="宋体" w:eastAsia="宋体"/>
          <w:color w:val="auto"/>
          <w:sz w:val="24"/>
          <w:highlight w:val="none"/>
        </w:rPr>
      </w:pPr>
    </w:p>
    <w:p w14:paraId="31738637">
      <w:pPr>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Theme="minorEastAsia" w:hAnsiTheme="minorEastAsia" w:eastAsiaTheme="minorEastAsia"/>
          <w:color w:val="auto"/>
          <w:sz w:val="24"/>
          <w:szCs w:val="28"/>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7F0A7ED">
      <w:pPr>
        <w:tabs>
          <w:tab w:val="left" w:pos="630"/>
        </w:tabs>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666EE90">
      <w:pPr>
        <w:spacing w:line="360" w:lineRule="auto"/>
        <w:ind w:firstLine="4800" w:firstLineChars="2000"/>
        <w:outlineLvl w:val="9"/>
        <w:rPr>
          <w:rFonts w:ascii="宋体" w:hAnsi="宋体" w:eastAsia="宋体"/>
          <w:color w:val="auto"/>
          <w:sz w:val="24"/>
          <w:szCs w:val="24"/>
          <w:highlight w:val="none"/>
          <w:u w:val="single"/>
        </w:rPr>
      </w:pPr>
    </w:p>
    <w:p w14:paraId="55DADE62">
      <w:pPr>
        <w:pStyle w:val="19"/>
        <w:spacing w:before="0" w:after="120" w:afterAutospacing="0"/>
        <w:jc w:val="both"/>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89227CC">
      <w:pPr>
        <w:pStyle w:val="19"/>
        <w:spacing w:before="0" w:after="120" w:afterAutospacing="0"/>
        <w:jc w:val="both"/>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A0DA0EA">
      <w:pPr>
        <w:outlineLvl w:val="9"/>
        <w:rPr>
          <w:rFonts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67E308BF">
      <w:pPr>
        <w:spacing w:line="360" w:lineRule="auto"/>
        <w:jc w:val="center"/>
        <w:outlineLvl w:val="9"/>
        <w:rPr>
          <w:rFonts w:asciiTheme="minorEastAsia" w:hAnsiTheme="minorEastAsia" w:eastAsiaTheme="minorEastAsia"/>
          <w:b/>
          <w:color w:val="auto"/>
          <w:sz w:val="24"/>
          <w:highlight w:val="none"/>
        </w:rPr>
      </w:pPr>
      <w:r>
        <w:rPr>
          <w:rFonts w:hint="eastAsia" w:ascii="宋体" w:hAnsi="宋体" w:eastAsia="宋体" w:cs="宋体"/>
          <w:b/>
          <w:color w:val="auto"/>
          <w:sz w:val="24"/>
          <w:szCs w:val="24"/>
          <w:highlight w:val="none"/>
          <w:lang w:bidi="ar"/>
        </w:rPr>
        <w:t>二、</w:t>
      </w:r>
      <w:r>
        <w:rPr>
          <w:rFonts w:hint="eastAsia" w:asciiTheme="minorEastAsia" w:hAnsiTheme="minorEastAsia" w:eastAsiaTheme="minorEastAsia"/>
          <w:b/>
          <w:color w:val="auto"/>
          <w:sz w:val="24"/>
          <w:highlight w:val="none"/>
        </w:rPr>
        <w:t>授权书</w:t>
      </w:r>
    </w:p>
    <w:p w14:paraId="0BD37C21">
      <w:pPr>
        <w:pStyle w:val="11"/>
        <w:snapToGrid w:val="0"/>
        <w:spacing w:line="360" w:lineRule="auto"/>
        <w:ind w:firstLine="480" w:firstLineChars="200"/>
        <w:jc w:val="left"/>
        <w:outlineLvl w:val="9"/>
        <w:rPr>
          <w:rFonts w:hAnsi="宋体" w:eastAsia="宋体"/>
          <w:color w:val="auto"/>
          <w:sz w:val="24"/>
          <w:szCs w:val="28"/>
          <w:highlight w:val="none"/>
        </w:rPr>
      </w:pPr>
    </w:p>
    <w:p w14:paraId="4B4DB150">
      <w:pPr>
        <w:spacing w:line="360" w:lineRule="auto"/>
        <w:ind w:firstLine="435"/>
        <w:outlineLvl w:val="9"/>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E983428">
      <w:pPr>
        <w:spacing w:line="360" w:lineRule="auto"/>
        <w:ind w:firstLine="435"/>
        <w:outlineLvl w:val="9"/>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3015EA87">
      <w:pPr>
        <w:spacing w:line="360" w:lineRule="auto"/>
        <w:ind w:firstLine="435"/>
        <w:outlineLvl w:val="9"/>
        <w:rPr>
          <w:rFonts w:hAnsi="宋体" w:eastAsia="宋体"/>
          <w:b/>
          <w:bCs/>
          <w:color w:val="auto"/>
          <w:sz w:val="24"/>
          <w:highlight w:val="none"/>
        </w:rPr>
      </w:pPr>
      <w:r>
        <w:rPr>
          <w:rFonts w:hint="eastAsia" w:hAnsi="宋体" w:eastAsia="宋体"/>
          <w:b/>
          <w:bCs/>
          <w:color w:val="auto"/>
          <w:sz w:val="24"/>
          <w:szCs w:val="28"/>
          <w:highlight w:val="none"/>
        </w:rPr>
        <w:t>授权</w:t>
      </w:r>
      <w:r>
        <w:rPr>
          <w:rFonts w:hint="eastAsia" w:asciiTheme="minorEastAsia" w:hAnsiTheme="minorEastAsia" w:eastAsiaTheme="minorEastAsia"/>
          <w:b/>
          <w:bCs/>
          <w:color w:val="auto"/>
          <w:sz w:val="24"/>
          <w:highlight w:val="none"/>
        </w:rPr>
        <w:t>代表</w:t>
      </w:r>
      <w:r>
        <w:rPr>
          <w:rFonts w:hint="eastAsia" w:hAnsi="宋体" w:eastAsia="宋体"/>
          <w:b/>
          <w:bCs/>
          <w:color w:val="auto"/>
          <w:sz w:val="24"/>
          <w:highlight w:val="none"/>
        </w:rPr>
        <w:t>身份证明扫描件：</w:t>
      </w:r>
    </w:p>
    <w:p w14:paraId="53D30A98">
      <w:pPr>
        <w:spacing w:line="360" w:lineRule="auto"/>
        <w:ind w:firstLine="435"/>
        <w:outlineLvl w:val="9"/>
        <w:rPr>
          <w:rFonts w:asciiTheme="minorEastAsia" w:hAnsiTheme="minorEastAsia" w:eastAsiaTheme="minorEastAsia"/>
          <w:color w:val="auto"/>
          <w:sz w:val="24"/>
          <w:highlight w:val="none"/>
        </w:rPr>
      </w:pPr>
    </w:p>
    <w:p w14:paraId="624A42FB">
      <w:pPr>
        <w:spacing w:line="360" w:lineRule="auto"/>
        <w:ind w:firstLine="435"/>
        <w:outlineLvl w:val="9"/>
        <w:rPr>
          <w:rFonts w:asciiTheme="minorEastAsia" w:hAnsiTheme="minorEastAsia" w:eastAsiaTheme="minorEastAsia"/>
          <w:color w:val="auto"/>
          <w:sz w:val="24"/>
          <w:highlight w:val="none"/>
        </w:rPr>
      </w:pPr>
    </w:p>
    <w:p w14:paraId="55F88840">
      <w:pPr>
        <w:spacing w:line="360" w:lineRule="auto"/>
        <w:ind w:firstLine="435"/>
        <w:outlineLvl w:val="9"/>
        <w:rPr>
          <w:rFonts w:asciiTheme="minorEastAsia" w:hAnsiTheme="minorEastAsia" w:eastAsiaTheme="minorEastAsia"/>
          <w:color w:val="auto"/>
          <w:sz w:val="24"/>
          <w:highlight w:val="none"/>
        </w:rPr>
      </w:pPr>
    </w:p>
    <w:p w14:paraId="3A8FDCC3">
      <w:pPr>
        <w:spacing w:line="360" w:lineRule="auto"/>
        <w:ind w:firstLine="435"/>
        <w:outlineLvl w:val="9"/>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3C14F2B1">
      <w:pPr>
        <w:spacing w:line="360" w:lineRule="auto"/>
        <w:ind w:firstLine="435"/>
        <w:outlineLvl w:val="9"/>
        <w:rPr>
          <w:rFonts w:hAnsi="宋体" w:eastAsia="宋体"/>
          <w:color w:val="auto"/>
          <w:sz w:val="24"/>
          <w:szCs w:val="28"/>
          <w:highlight w:val="none"/>
          <w:lang w:val="zh-CN"/>
        </w:rPr>
      </w:pPr>
    </w:p>
    <w:p w14:paraId="0AAF3F94">
      <w:pPr>
        <w:spacing w:line="360" w:lineRule="auto"/>
        <w:ind w:firstLine="435"/>
        <w:outlineLvl w:val="9"/>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0026CAFD">
      <w:pPr>
        <w:spacing w:line="360" w:lineRule="auto"/>
        <w:outlineLvl w:val="9"/>
        <w:rPr>
          <w:rFonts w:ascii="宋体" w:hAnsi="宋体" w:eastAsia="宋体"/>
          <w:color w:val="auto"/>
          <w:sz w:val="24"/>
          <w:szCs w:val="28"/>
          <w:highlight w:val="none"/>
        </w:rPr>
      </w:pPr>
    </w:p>
    <w:p w14:paraId="6B46048E">
      <w:pPr>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829A1B6">
      <w:pPr>
        <w:tabs>
          <w:tab w:val="left" w:pos="630"/>
        </w:tabs>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702DC185">
      <w:pPr>
        <w:spacing w:line="360" w:lineRule="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2665F5A4">
      <w:pPr>
        <w:spacing w:line="360" w:lineRule="auto"/>
        <w:ind w:firstLine="435"/>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1.本项目只允许有唯一的投标人授权代表，提供身份证明</w:t>
      </w:r>
      <w:r>
        <w:rPr>
          <w:rFonts w:hint="eastAsia" w:asciiTheme="minorEastAsia" w:hAnsiTheme="minorEastAsia" w:eastAsiaTheme="minorEastAsia"/>
          <w:b/>
          <w:bCs/>
          <w:color w:val="auto"/>
          <w:sz w:val="24"/>
          <w:highlight w:val="none"/>
          <w:lang w:val="en-US" w:eastAsia="zh-CN"/>
        </w:rPr>
        <w:t>复印件</w:t>
      </w:r>
      <w:r>
        <w:rPr>
          <w:rFonts w:hint="eastAsia" w:asciiTheme="minorEastAsia" w:hAnsiTheme="minorEastAsia" w:eastAsiaTheme="minorEastAsia"/>
          <w:b/>
          <w:bCs/>
          <w:color w:val="auto"/>
          <w:sz w:val="24"/>
          <w:highlight w:val="none"/>
        </w:rPr>
        <w:t>；</w:t>
      </w:r>
    </w:p>
    <w:p w14:paraId="308D64D4">
      <w:pPr>
        <w:spacing w:line="360" w:lineRule="auto"/>
        <w:ind w:firstLine="435"/>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2.法定代表人参加投标的无需提供授权书，提供身份证明</w:t>
      </w:r>
      <w:r>
        <w:rPr>
          <w:rFonts w:hint="eastAsia" w:asciiTheme="minorEastAsia" w:hAnsiTheme="minorEastAsia" w:eastAsiaTheme="minorEastAsia"/>
          <w:b/>
          <w:bCs/>
          <w:color w:val="auto"/>
          <w:sz w:val="24"/>
          <w:highlight w:val="none"/>
          <w:lang w:val="en-US" w:eastAsia="zh-CN"/>
        </w:rPr>
        <w:t>复印件</w:t>
      </w:r>
      <w:r>
        <w:rPr>
          <w:rFonts w:hint="eastAsia" w:asciiTheme="minorEastAsia" w:hAnsiTheme="minorEastAsia" w:eastAsiaTheme="minorEastAsia"/>
          <w:b/>
          <w:bCs/>
          <w:color w:val="auto"/>
          <w:sz w:val="24"/>
          <w:highlight w:val="none"/>
        </w:rPr>
        <w:t>。</w:t>
      </w:r>
    </w:p>
    <w:p w14:paraId="3B61E119">
      <w:pPr>
        <w:widowControl/>
        <w:jc w:val="left"/>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5054BE2">
      <w:pPr>
        <w:spacing w:line="360" w:lineRule="auto"/>
        <w:jc w:val="center"/>
        <w:outlineLvl w:val="9"/>
        <w:rPr>
          <w:rFonts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三、诚信投标承诺书</w:t>
      </w:r>
    </w:p>
    <w:p w14:paraId="273CE1BD">
      <w:pPr>
        <w:spacing w:line="50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本人以企业法定代表人的身份郑重承诺：</w:t>
      </w:r>
    </w:p>
    <w:p w14:paraId="65ACD1D2">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一、将遵循公开、公正和诚实信用的原则自愿参加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项目的投标，所提供的一切材料都是真实、有效、合法的；</w:t>
      </w:r>
    </w:p>
    <w:p w14:paraId="31FA4E0A">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A90ACEC">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三、不出借、转让资质证书，不让他人挂靠投标，不以他人名义投标或者以其他方式弄虚作假，骗取中标；</w:t>
      </w:r>
    </w:p>
    <w:p w14:paraId="4B46CB07">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四、不与其他投标人相互串通投标报价，不排挤其他投标人的公平竞争、损害招标人的合法权益；</w:t>
      </w:r>
    </w:p>
    <w:p w14:paraId="75E79798">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五、不与招标人、招标代理机构或其他投标人串通投标，损害国家利益、社会公共利益或者他人的合法权益；</w:t>
      </w:r>
    </w:p>
    <w:p w14:paraId="50AF8A12">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六、</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 xml:space="preserve">（企业名称）   </w:t>
      </w:r>
      <w:r>
        <w:rPr>
          <w:rFonts w:hint="eastAsia" w:ascii="宋体" w:hAnsi="宋体" w:eastAsia="宋体" w:cs="宋体"/>
          <w:color w:val="auto"/>
          <w:kern w:val="0"/>
          <w:sz w:val="24"/>
          <w:szCs w:val="24"/>
          <w:highlight w:val="none"/>
          <w:lang w:val="en-US" w:eastAsia="zh-CN" w:bidi="ar"/>
        </w:rPr>
        <w:t>或</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 xml:space="preserve">（企业名称）  </w:t>
      </w:r>
      <w:r>
        <w:rPr>
          <w:rFonts w:hint="eastAsia" w:ascii="宋体" w:hAnsi="宋体" w:eastAsia="宋体" w:cs="宋体"/>
          <w:color w:val="auto"/>
          <w:sz w:val="24"/>
          <w:szCs w:val="24"/>
          <w:highlight w:val="none"/>
          <w:lang w:val="en-US" w:eastAsia="zh-CN"/>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 1-7 项信誉要求，在此一并承诺我公司所属分公司、办事处等分支机构没有上述 1-7 项情形）</w:t>
      </w:r>
    </w:p>
    <w:p w14:paraId="7DDC1C88">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七、严格遵守开标现场纪律，服从监管人员管理；</w:t>
      </w:r>
    </w:p>
    <w:p w14:paraId="3C2EC9BE">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八、保证中标后不转包，若有分包征得招标人同意；</w:t>
      </w:r>
    </w:p>
    <w:p w14:paraId="69FE5217">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九</w:t>
      </w:r>
      <w:r>
        <w:rPr>
          <w:rFonts w:hint="eastAsia" w:ascii="宋体" w:hAnsi="宋体" w:eastAsia="宋体" w:cs="宋体"/>
          <w:color w:val="auto"/>
          <w:sz w:val="24"/>
          <w:szCs w:val="24"/>
          <w:highlight w:val="none"/>
          <w:lang w:bidi="ar"/>
        </w:rPr>
        <w:t>、保证中标之后，按照投标文件要求提供相关后续服务；</w:t>
      </w:r>
    </w:p>
    <w:p w14:paraId="5CA034EA">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十、保证企业及所属相关人员在本次投标中无行贿等犯罪行为；</w:t>
      </w:r>
    </w:p>
    <w:p w14:paraId="091AD8D1">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一</w:t>
      </w:r>
      <w:r>
        <w:rPr>
          <w:rFonts w:hint="eastAsia" w:ascii="宋体" w:hAnsi="宋体" w:eastAsia="宋体" w:cs="宋体"/>
          <w:color w:val="auto"/>
          <w:sz w:val="24"/>
          <w:szCs w:val="24"/>
          <w:highlight w:val="none"/>
          <w:lang w:bidi="ar"/>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5FC7B4D">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以上内容我已仔细阅读，本公司若有违反承诺内容的行为，自愿接受取消投标或者中标资格、记入不良行为记录等有关处理，愿意承担法律责任，给招标人造成损失的，依法承担赔偿责任。</w:t>
      </w:r>
    </w:p>
    <w:p w14:paraId="22132DB7">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54CD78CE">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开户银行：                      基本账户：</w:t>
      </w:r>
    </w:p>
    <w:p w14:paraId="69A060EF">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投标单位（</w:t>
      </w:r>
      <w:r>
        <w:rPr>
          <w:rFonts w:hint="eastAsia" w:ascii="宋体" w:hAnsi="宋体" w:eastAsia="宋体" w:cs="宋体"/>
          <w:color w:val="auto"/>
          <w:sz w:val="24"/>
          <w:szCs w:val="24"/>
          <w:highlight w:val="none"/>
          <w:lang w:val="en-US" w:eastAsia="zh-CN" w:bidi="ar"/>
        </w:rPr>
        <w:t>盖章</w:t>
      </w:r>
      <w:r>
        <w:rPr>
          <w:rFonts w:hint="eastAsia" w:ascii="宋体" w:hAnsi="宋体" w:eastAsia="宋体" w:cs="宋体"/>
          <w:color w:val="auto"/>
          <w:sz w:val="24"/>
          <w:szCs w:val="24"/>
          <w:highlight w:val="none"/>
          <w:lang w:bidi="ar"/>
        </w:rPr>
        <w:t>）：              法定代表人（</w:t>
      </w:r>
      <w:r>
        <w:rPr>
          <w:rFonts w:hint="eastAsia" w:ascii="宋体" w:hAnsi="宋体" w:eastAsia="宋体" w:cs="宋体"/>
          <w:color w:val="auto"/>
          <w:sz w:val="24"/>
          <w:szCs w:val="24"/>
          <w:highlight w:val="none"/>
          <w:lang w:val="en-US" w:eastAsia="zh-CN" w:bidi="ar"/>
        </w:rPr>
        <w:t>盖章或签字</w:t>
      </w:r>
      <w:r>
        <w:rPr>
          <w:rFonts w:hint="eastAsia" w:ascii="宋体" w:hAnsi="宋体" w:eastAsia="宋体" w:cs="宋体"/>
          <w:color w:val="auto"/>
          <w:sz w:val="24"/>
          <w:szCs w:val="24"/>
          <w:highlight w:val="none"/>
          <w:lang w:bidi="ar"/>
        </w:rPr>
        <w:t>）：</w:t>
      </w:r>
    </w:p>
    <w:p w14:paraId="48B39275">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2C065FFB">
      <w:pPr>
        <w:spacing w:line="560" w:lineRule="exact"/>
        <w:jc w:val="right"/>
        <w:outlineLvl w:val="9"/>
        <w:rPr>
          <w:rFonts w:ascii="仿宋_GB2312" w:eastAsia="仿宋_GB2312" w:cs="仿宋_GB2312"/>
          <w:color w:val="auto"/>
          <w:sz w:val="24"/>
          <w:szCs w:val="24"/>
          <w:highlight w:val="none"/>
        </w:rPr>
      </w:pPr>
      <w:r>
        <w:rPr>
          <w:rFonts w:hint="eastAsia" w:ascii="宋体" w:hAnsi="宋体" w:eastAsia="宋体" w:cs="宋体"/>
          <w:color w:val="auto"/>
          <w:sz w:val="24"/>
          <w:szCs w:val="24"/>
          <w:highlight w:val="none"/>
          <w:lang w:bidi="ar"/>
        </w:rPr>
        <w:t>日期：</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年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月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14:paraId="0B9CF2FC">
      <w:pPr>
        <w:spacing w:line="360" w:lineRule="auto"/>
        <w:jc w:val="center"/>
        <w:outlineLvl w:val="9"/>
        <w:rPr>
          <w:rFonts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F225603">
      <w:pPr>
        <w:outlineLvl w:val="9"/>
        <w:rPr>
          <w:rFonts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4969885E">
      <w:pPr>
        <w:keepNext w:val="0"/>
        <w:keepLines w:val="0"/>
        <w:widowControl w:val="0"/>
        <w:suppressLineNumbers w:val="0"/>
        <w:spacing w:before="0" w:beforeAutospacing="0" w:after="0" w:afterAutospacing="0"/>
        <w:ind w:left="0" w:right="0"/>
        <w:jc w:val="right"/>
        <w:outlineLvl w:val="9"/>
        <w:rPr>
          <w:rFonts w:hint="eastAsia" w:ascii="宋体" w:hAnsi="宋体" w:eastAsia="宋体" w:cs="宋体"/>
          <w:b/>
          <w:bCs/>
          <w:color w:val="auto"/>
          <w:kern w:val="2"/>
          <w:sz w:val="30"/>
          <w:szCs w:val="30"/>
          <w:highlight w:val="none"/>
          <w:lang w:val="en-US" w:eastAsia="zh-CN" w:bidi="ar"/>
        </w:rPr>
      </w:pPr>
    </w:p>
    <w:p w14:paraId="3A1EE88C">
      <w:pPr>
        <w:keepNext w:val="0"/>
        <w:keepLines w:val="0"/>
        <w:widowControl w:val="0"/>
        <w:suppressLineNumbers w:val="0"/>
        <w:spacing w:before="0" w:beforeAutospacing="0" w:after="0" w:afterAutospacing="0"/>
        <w:ind w:left="0" w:right="0"/>
        <w:jc w:val="right"/>
        <w:outlineLvl w:val="9"/>
        <w:rPr>
          <w:rFonts w:hint="eastAsia" w:ascii="宋体" w:hAnsi="宋体" w:eastAsia="宋体" w:cs="宋体"/>
          <w:b/>
          <w:bCs/>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bidi="ar"/>
        </w:rPr>
        <w:t>注明正本或副本</w:t>
      </w:r>
    </w:p>
    <w:p w14:paraId="0DF7B85C">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48"/>
          <w:szCs w:val="48"/>
          <w:highlight w:val="none"/>
        </w:rPr>
      </w:pPr>
      <w:r>
        <w:rPr>
          <w:rFonts w:hint="eastAsia" w:ascii="宋体" w:hAnsi="Times New Roman" w:eastAsia="宋体" w:cs="Times New Roman"/>
          <w:color w:val="auto"/>
          <w:kern w:val="2"/>
          <w:sz w:val="48"/>
          <w:szCs w:val="48"/>
          <w:highlight w:val="none"/>
          <w:lang w:val="en-US" w:eastAsia="zh-CN" w:bidi="ar"/>
        </w:rPr>
        <w:t xml:space="preserve"> </w:t>
      </w:r>
    </w:p>
    <w:p w14:paraId="6DF8B2A7">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48"/>
          <w:szCs w:val="48"/>
          <w:highlight w:val="none"/>
        </w:rPr>
      </w:pPr>
      <w:r>
        <w:rPr>
          <w:rFonts w:hint="eastAsia" w:ascii="宋体" w:hAnsi="宋体" w:eastAsia="宋体" w:cs="宋体"/>
          <w:color w:val="auto"/>
          <w:kern w:val="2"/>
          <w:sz w:val="48"/>
          <w:szCs w:val="48"/>
          <w:highlight w:val="none"/>
          <w:lang w:val="en-US" w:eastAsia="zh-CN" w:bidi="ar"/>
        </w:rPr>
        <w:t>技术标文件</w:t>
      </w:r>
    </w:p>
    <w:p w14:paraId="301094A2">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b/>
          <w:bCs w:val="0"/>
          <w:color w:val="auto"/>
          <w:kern w:val="2"/>
          <w:sz w:val="21"/>
          <w:szCs w:val="21"/>
          <w:highlight w:val="none"/>
        </w:rPr>
      </w:pPr>
      <w:r>
        <w:rPr>
          <w:rFonts w:hint="eastAsia" w:ascii="宋体" w:hAnsi="Times New Roman" w:eastAsia="宋体" w:cs="Times New Roman"/>
          <w:b/>
          <w:bCs w:val="0"/>
          <w:color w:val="auto"/>
          <w:kern w:val="2"/>
          <w:sz w:val="21"/>
          <w:szCs w:val="21"/>
          <w:highlight w:val="none"/>
          <w:lang w:val="en-US" w:eastAsia="zh-CN" w:bidi="ar"/>
        </w:rPr>
        <w:t xml:space="preserve"> </w:t>
      </w:r>
    </w:p>
    <w:p w14:paraId="155E3705">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（投标文件二）</w:t>
      </w:r>
    </w:p>
    <w:p w14:paraId="281A6ABB">
      <w:pPr>
        <w:keepNext w:val="0"/>
        <w:keepLines w:val="0"/>
        <w:widowControl w:val="0"/>
        <w:suppressLineNumbers w:val="0"/>
        <w:spacing w:before="0" w:beforeAutospacing="0" w:after="0" w:afterAutospacing="0"/>
        <w:ind w:left="0" w:right="0"/>
        <w:jc w:val="center"/>
        <w:outlineLvl w:val="9"/>
        <w:rPr>
          <w:rFonts w:hint="eastAsia" w:ascii="Times New Roman" w:hAnsi="Times New Roman" w:eastAsia="黑体" w:cs="Times New Roman"/>
          <w:color w:val="auto"/>
          <w:kern w:val="2"/>
          <w:sz w:val="44"/>
          <w:szCs w:val="44"/>
          <w:highlight w:val="none"/>
        </w:rPr>
      </w:pPr>
      <w:r>
        <w:rPr>
          <w:rFonts w:hint="eastAsia" w:ascii="Times New Roman" w:hAnsi="Times New Roman" w:eastAsia="黑体" w:cs="Times New Roman"/>
          <w:color w:val="auto"/>
          <w:kern w:val="2"/>
          <w:sz w:val="44"/>
          <w:szCs w:val="44"/>
          <w:highlight w:val="none"/>
          <w:lang w:val="en-US" w:eastAsia="zh-CN" w:bidi="ar"/>
        </w:rPr>
        <w:t xml:space="preserve"> </w:t>
      </w:r>
    </w:p>
    <w:p w14:paraId="423E3495">
      <w:pPr>
        <w:keepNext w:val="0"/>
        <w:keepLines w:val="0"/>
        <w:widowControl w:val="0"/>
        <w:suppressLineNumbers w:val="0"/>
        <w:spacing w:before="0" w:beforeAutospacing="0" w:after="0" w:afterAutospacing="0"/>
        <w:ind w:right="0" w:firstLine="3080" w:firstLineChars="1100"/>
        <w:jc w:val="both"/>
        <w:outlineLvl w:val="9"/>
        <w:rPr>
          <w:rFonts w:hint="eastAsia" w:ascii="宋体" w:hAnsi="Times New Roman"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项目名称：</w:t>
      </w:r>
      <w:r>
        <w:rPr>
          <w:rFonts w:hint="eastAsia" w:ascii="宋体" w:hAnsi="Times New Roman" w:eastAsia="宋体" w:cs="Times New Roman"/>
          <w:color w:val="auto"/>
          <w:kern w:val="2"/>
          <w:sz w:val="28"/>
          <w:szCs w:val="28"/>
          <w:highlight w:val="none"/>
          <w:u w:val="single"/>
          <w:lang w:val="en-US" w:eastAsia="zh-CN" w:bidi="ar"/>
        </w:rPr>
        <w:t xml:space="preserve">     </w:t>
      </w:r>
    </w:p>
    <w:p w14:paraId="35A2C990">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341581AD">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28336C96">
      <w:pPr>
        <w:pStyle w:val="19"/>
        <w:keepNext w:val="0"/>
        <w:keepLines w:val="0"/>
        <w:widowControl w:val="0"/>
        <w:suppressLineNumbers w:val="0"/>
        <w:spacing w:before="0" w:beforeAutospacing="1" w:after="120" w:afterAutospacing="0"/>
        <w:ind w:left="420" w:leftChars="200" w:right="0" w:firstLine="560" w:firstLineChars="20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7323F14D">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3145B6AE">
      <w:pPr>
        <w:pStyle w:val="19"/>
        <w:keepNext w:val="0"/>
        <w:keepLines w:val="0"/>
        <w:widowControl w:val="0"/>
        <w:suppressLineNumbers w:val="0"/>
        <w:spacing w:before="0" w:beforeAutospacing="1" w:after="120" w:afterAutospacing="0"/>
        <w:ind w:left="420" w:leftChars="200" w:right="0" w:firstLine="420" w:firstLineChars="200"/>
        <w:jc w:val="both"/>
        <w:outlineLvl w:val="9"/>
        <w:rPr>
          <w:rFonts w:hint="eastAsia" w:ascii="Times New Roman" w:hAnsi="Times New Roman" w:eastAsia="宋体" w:cs="Times New Roman"/>
          <w:color w:val="auto"/>
          <w:kern w:val="2"/>
          <w:sz w:val="21"/>
          <w:szCs w:val="21"/>
          <w:highlight w:val="none"/>
          <w:lang w:val="en-US" w:eastAsia="zh-CN" w:bidi="ar"/>
        </w:rPr>
      </w:pPr>
    </w:p>
    <w:p w14:paraId="7B8AA2EB">
      <w:pPr>
        <w:pStyle w:val="19"/>
        <w:keepNext w:val="0"/>
        <w:keepLines w:val="0"/>
        <w:widowControl w:val="0"/>
        <w:suppressLineNumbers w:val="0"/>
        <w:spacing w:before="0" w:beforeAutospacing="1" w:after="120" w:afterAutospacing="0"/>
        <w:ind w:left="420" w:leftChars="200" w:right="0" w:firstLine="420" w:firstLineChars="200"/>
        <w:jc w:val="both"/>
        <w:outlineLvl w:val="9"/>
        <w:rPr>
          <w:rFonts w:hint="eastAsia" w:ascii="Times New Roman" w:hAnsi="Times New Roman" w:eastAsia="宋体" w:cs="Times New Roman"/>
          <w:color w:val="auto"/>
          <w:kern w:val="2"/>
          <w:sz w:val="21"/>
          <w:szCs w:val="21"/>
          <w:highlight w:val="none"/>
          <w:lang w:val="en-US" w:eastAsia="zh-CN" w:bidi="ar"/>
        </w:rPr>
      </w:pPr>
    </w:p>
    <w:p w14:paraId="41B39CEB">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5A137F9C">
      <w:pPr>
        <w:keepNext w:val="0"/>
        <w:keepLines w:val="0"/>
        <w:widowControl w:val="0"/>
        <w:suppressLineNumbers w:val="0"/>
        <w:spacing w:before="0" w:beforeAutospacing="0" w:after="0" w:afterAutospacing="0"/>
        <w:ind w:left="0" w:right="0"/>
        <w:jc w:val="both"/>
        <w:outlineLvl w:val="9"/>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38E870C3">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66A1CE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（盖单位章）</w:t>
      </w:r>
    </w:p>
    <w:p w14:paraId="7BB1E2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（签字或盖章）</w:t>
      </w:r>
    </w:p>
    <w:p w14:paraId="5C84D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13762492">
      <w:pPr>
        <w:keepNext w:val="0"/>
        <w:keepLines w:val="0"/>
        <w:widowControl w:val="0"/>
        <w:suppressLineNumbers w:val="0"/>
        <w:spacing w:before="0" w:beforeAutospacing="0" w:after="0" w:afterAutospacing="0"/>
        <w:ind w:left="0" w:right="0" w:firstLine="1400" w:firstLineChars="50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57BBDE4B">
      <w:pPr>
        <w:pStyle w:val="19"/>
        <w:keepNext w:val="0"/>
        <w:keepLines w:val="0"/>
        <w:widowControl w:val="0"/>
        <w:suppressLineNumbers w:val="0"/>
        <w:spacing w:before="0" w:beforeAutospacing="1" w:after="120" w:afterAutospacing="0"/>
        <w:ind w:left="420" w:leftChars="200" w:right="0" w:firstLine="560" w:firstLineChars="20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4B03856C">
      <w:pPr>
        <w:keepNext w:val="0"/>
        <w:keepLines w:val="0"/>
        <w:widowControl w:val="0"/>
        <w:suppressLineNumbers w:val="0"/>
        <w:spacing w:before="0" w:beforeAutospacing="0" w:after="0" w:afterAutospacing="0" w:line="400" w:lineRule="exact"/>
        <w:ind w:left="0" w:right="0"/>
        <w:jc w:val="center"/>
        <w:outlineLvl w:val="9"/>
        <w:rPr>
          <w:rFonts w:hint="eastAsia" w:ascii="宋体" w:hAnsi="宋体" w:eastAsia="宋体" w:cs="宋体"/>
          <w:b/>
          <w:bCs w:val="0"/>
          <w:color w:val="auto"/>
          <w:kern w:val="2"/>
          <w:sz w:val="36"/>
          <w:szCs w:val="36"/>
          <w:highlight w:val="none"/>
          <w:lang w:val="en-US" w:eastAsia="zh-CN" w:bidi="ar"/>
        </w:rPr>
      </w:pPr>
    </w:p>
    <w:p w14:paraId="696576F8">
      <w:pPr>
        <w:keepNext w:val="0"/>
        <w:keepLines w:val="0"/>
        <w:widowControl w:val="0"/>
        <w:suppressLineNumbers w:val="0"/>
        <w:spacing w:before="0" w:beforeAutospacing="0" w:after="0" w:afterAutospacing="0" w:line="400" w:lineRule="exact"/>
        <w:ind w:left="0" w:right="0"/>
        <w:jc w:val="center"/>
        <w:outlineLvl w:val="9"/>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目   录</w:t>
      </w:r>
    </w:p>
    <w:p w14:paraId="769417EC">
      <w:pPr>
        <w:keepNext w:val="0"/>
        <w:keepLines w:val="0"/>
        <w:widowControl w:val="0"/>
        <w:suppressLineNumbers w:val="0"/>
        <w:spacing w:before="0" w:beforeAutospacing="0" w:after="0" w:afterAutospacing="0" w:line="400" w:lineRule="exact"/>
        <w:ind w:left="0" w:right="0" w:firstLine="3744" w:firstLineChars="1036"/>
        <w:jc w:val="both"/>
        <w:outlineLvl w:val="9"/>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 xml:space="preserve"> </w:t>
      </w:r>
    </w:p>
    <w:p w14:paraId="03C926E3">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投标响应表（格式见附件）；</w:t>
      </w:r>
    </w:p>
    <w:p w14:paraId="6436897A">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（2）诚信履约承诺函（格式见附件）</w:t>
      </w:r>
    </w:p>
    <w:p w14:paraId="070039ED">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（3）招标文件技术标评审中要求提交的其他材料；</w:t>
      </w:r>
    </w:p>
    <w:p w14:paraId="27B513F6">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（4）招标文件中要求的技术标评审及技术标评分的支持资料；</w:t>
      </w:r>
    </w:p>
    <w:p w14:paraId="061BEBCC">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（5）投标人认为需要提供的其他技术证明材料；</w:t>
      </w:r>
    </w:p>
    <w:p w14:paraId="6830177C">
      <w:pPr>
        <w:keepNext w:val="0"/>
        <w:keepLines w:val="0"/>
        <w:widowControl w:val="0"/>
        <w:suppressLineNumbers w:val="0"/>
        <w:spacing w:before="0" w:beforeAutospacing="0" w:after="0" w:afterAutospacing="0" w:line="360" w:lineRule="auto"/>
        <w:ind w:left="0" w:right="0" w:firstLine="480" w:firstLineChars="200"/>
        <w:jc w:val="left"/>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（6）其他（如有）。</w:t>
      </w:r>
    </w:p>
    <w:p w14:paraId="223EAE12">
      <w:pPr>
        <w:keepNext w:val="0"/>
        <w:keepLines w:val="0"/>
        <w:widowControl w:val="0"/>
        <w:suppressLineNumbers w:val="0"/>
        <w:spacing w:before="0" w:beforeAutospacing="0" w:after="0" w:afterAutospacing="0" w:line="400" w:lineRule="exact"/>
        <w:ind w:left="0" w:right="0" w:firstLine="562" w:firstLineChars="20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7051A494">
      <w:pPr>
        <w:pStyle w:val="19"/>
        <w:keepNext w:val="0"/>
        <w:keepLines w:val="0"/>
        <w:widowControl w:val="0"/>
        <w:suppressLineNumbers w:val="0"/>
        <w:spacing w:before="0" w:beforeAutospacing="1" w:after="120" w:afterAutospacing="0" w:line="360" w:lineRule="auto"/>
        <w:ind w:left="420" w:leftChars="200" w:right="0" w:firstLine="562" w:firstLineChars="20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5B8E9A92">
      <w:pPr>
        <w:pStyle w:val="19"/>
        <w:keepNext w:val="0"/>
        <w:keepLines w:val="0"/>
        <w:widowControl w:val="0"/>
        <w:suppressLineNumbers w:val="0"/>
        <w:spacing w:before="0" w:beforeAutospacing="1" w:after="0" w:afterAutospacing="1"/>
        <w:ind w:left="420" w:right="0" w:hanging="42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4E4A3FD7">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5C437EB3">
      <w:pPr>
        <w:pStyle w:val="19"/>
        <w:keepNext w:val="0"/>
        <w:keepLines w:val="0"/>
        <w:widowControl w:val="0"/>
        <w:suppressLineNumbers w:val="0"/>
        <w:spacing w:before="0" w:beforeAutospacing="1" w:after="120" w:afterAutospacing="0" w:line="360" w:lineRule="auto"/>
        <w:ind w:left="420" w:leftChars="200" w:right="0" w:firstLine="562" w:firstLineChars="20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30C0C551">
      <w:pPr>
        <w:pStyle w:val="19"/>
        <w:keepNext w:val="0"/>
        <w:keepLines w:val="0"/>
        <w:widowControl w:val="0"/>
        <w:suppressLineNumbers w:val="0"/>
        <w:spacing w:before="0" w:beforeAutospacing="1" w:after="0" w:afterAutospacing="1"/>
        <w:ind w:left="420" w:right="0" w:hanging="42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64581176">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73D316D6">
      <w:pPr>
        <w:pStyle w:val="19"/>
        <w:keepNext w:val="0"/>
        <w:keepLines w:val="0"/>
        <w:widowControl w:val="0"/>
        <w:suppressLineNumbers w:val="0"/>
        <w:spacing w:before="0" w:beforeAutospacing="1" w:after="120" w:afterAutospacing="0" w:line="360" w:lineRule="auto"/>
        <w:ind w:left="420" w:leftChars="200" w:right="0" w:firstLine="562" w:firstLineChars="20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10FA55B1">
      <w:pPr>
        <w:pStyle w:val="19"/>
        <w:keepNext w:val="0"/>
        <w:keepLines w:val="0"/>
        <w:widowControl w:val="0"/>
        <w:suppressLineNumbers w:val="0"/>
        <w:spacing w:before="0" w:beforeAutospacing="1" w:after="0" w:afterAutospacing="1"/>
        <w:ind w:left="420" w:right="0" w:hanging="420"/>
        <w:jc w:val="both"/>
        <w:outlineLvl w:val="9"/>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 xml:space="preserve"> </w:t>
      </w:r>
    </w:p>
    <w:p w14:paraId="3F534585">
      <w:pPr>
        <w:pStyle w:val="19"/>
        <w:keepNext w:val="0"/>
        <w:keepLines w:val="0"/>
        <w:widowControl w:val="0"/>
        <w:suppressLineNumbers w:val="0"/>
        <w:spacing w:before="0" w:beforeAutospacing="1" w:after="0" w:afterAutospacing="1"/>
        <w:ind w:left="420" w:right="0" w:hanging="420"/>
        <w:jc w:val="both"/>
        <w:outlineLvl w:val="9"/>
        <w:rPr>
          <w:rFonts w:hint="eastAsia" w:ascii="宋体" w:hAnsi="宋体" w:eastAsia="宋体" w:cs="宋体"/>
          <w:b/>
          <w:bCs w:val="0"/>
          <w:color w:val="auto"/>
          <w:kern w:val="2"/>
          <w:sz w:val="28"/>
          <w:szCs w:val="28"/>
          <w:highlight w:val="none"/>
          <w:lang w:val="en-US" w:eastAsia="zh-CN" w:bidi="ar"/>
        </w:rPr>
      </w:pPr>
    </w:p>
    <w:p w14:paraId="17396C21">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62097ED2">
      <w:pPr>
        <w:pStyle w:val="19"/>
        <w:keepNext w:val="0"/>
        <w:keepLines w:val="0"/>
        <w:widowControl w:val="0"/>
        <w:suppressLineNumbers w:val="0"/>
        <w:spacing w:before="0" w:beforeAutospacing="1" w:after="120" w:afterAutospacing="0" w:line="360" w:lineRule="auto"/>
        <w:ind w:left="420" w:leftChars="200" w:right="0" w:firstLine="482" w:firstLineChars="200"/>
        <w:jc w:val="center"/>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一、投标响应表</w:t>
      </w:r>
    </w:p>
    <w:p w14:paraId="7AB221CD">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1.商务响应表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1916"/>
        <w:gridCol w:w="2498"/>
        <w:gridCol w:w="2575"/>
        <w:gridCol w:w="810"/>
      </w:tblGrid>
      <w:tr w14:paraId="4FD3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8B6376E">
            <w:pPr>
              <w:pStyle w:val="19"/>
              <w:keepNext w:val="0"/>
              <w:keepLines w:val="0"/>
              <w:widowControl w:val="0"/>
              <w:suppressLineNumbers w:val="0"/>
              <w:spacing w:before="0" w:beforeAutospacing="0" w:after="0" w:afterAutospacing="0"/>
              <w:ind w:left="0" w:right="0"/>
              <w:jc w:val="center"/>
              <w:outlineLvl w:val="9"/>
              <w:rPr>
                <w:rFonts w:hint="eastAsia" w:ascii="宋体" w:hAnsi="宋体" w:eastAsia="宋体" w:cs="Wingdings"/>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序号</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4F87BC1D">
            <w:pPr>
              <w:pStyle w:val="19"/>
              <w:keepNext w:val="0"/>
              <w:keepLines w:val="0"/>
              <w:widowControl w:val="0"/>
              <w:suppressLineNumbers w:val="0"/>
              <w:spacing w:before="0" w:beforeAutospacing="0" w:after="0" w:afterAutospacing="0"/>
              <w:ind w:left="0" w:right="0"/>
              <w:jc w:val="center"/>
              <w:outlineLvl w:val="9"/>
              <w:rPr>
                <w:rFonts w:hint="eastAsia" w:ascii="宋体" w:hAnsi="宋体" w:eastAsia="宋体" w:cs="Wingdings"/>
                <w:b/>
                <w:bCs w:val="0"/>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商务条款</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4344D685">
            <w:pPr>
              <w:pStyle w:val="19"/>
              <w:keepNext w:val="0"/>
              <w:keepLines w:val="0"/>
              <w:widowControl w:val="0"/>
              <w:suppressLineNumbers w:val="0"/>
              <w:spacing w:before="0" w:beforeAutospacing="0" w:after="0" w:afterAutospacing="0"/>
              <w:ind w:left="0" w:right="0"/>
              <w:jc w:val="center"/>
              <w:outlineLvl w:val="9"/>
              <w:rPr>
                <w:rFonts w:hint="eastAsia" w:ascii="宋体" w:hAnsi="宋体" w:eastAsia="宋体" w:cs="Wingdings"/>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招标文件要求</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5A8D55C9">
            <w:pPr>
              <w:pStyle w:val="19"/>
              <w:keepNext w:val="0"/>
              <w:keepLines w:val="0"/>
              <w:widowControl w:val="0"/>
              <w:suppressLineNumbers w:val="0"/>
              <w:spacing w:before="0" w:beforeAutospacing="0" w:after="0" w:afterAutospacing="0"/>
              <w:ind w:left="0" w:right="0"/>
              <w:jc w:val="center"/>
              <w:outlineLvl w:val="9"/>
              <w:rPr>
                <w:rFonts w:hint="eastAsia" w:ascii="宋体" w:hAnsi="宋体" w:eastAsia="宋体" w:cs="Wingdings"/>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投标人承诺</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5BEB10A">
            <w:pPr>
              <w:pStyle w:val="19"/>
              <w:keepNext w:val="0"/>
              <w:keepLines w:val="0"/>
              <w:widowControl w:val="0"/>
              <w:suppressLineNumbers w:val="0"/>
              <w:spacing w:before="0" w:beforeAutospacing="0" w:after="0" w:afterAutospacing="0"/>
              <w:ind w:left="0" w:right="0"/>
              <w:jc w:val="center"/>
              <w:outlineLvl w:val="9"/>
              <w:rPr>
                <w:rFonts w:hint="eastAsia" w:ascii="宋体" w:hAnsi="宋体" w:eastAsia="宋体" w:cs="Wingdings"/>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偏离说明</w:t>
            </w:r>
          </w:p>
        </w:tc>
      </w:tr>
      <w:tr w14:paraId="6AE6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767B802">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1</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2D71E8D6">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付款方式</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666EF728">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65FB227C">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D1F5DA7">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r>
      <w:tr w14:paraId="5C1A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DED9407">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3EEEB914">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服务地点</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3C5FAAAD">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4DB2B280">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56F244E0">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r>
      <w:tr w14:paraId="6DB6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7DC03AA">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23D88347">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服务期限</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2917728A">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39102A82">
            <w:pPr>
              <w:pStyle w:val="19"/>
              <w:keepNext w:val="0"/>
              <w:keepLines w:val="0"/>
              <w:widowControl w:val="0"/>
              <w:suppressLineNumbers w:val="0"/>
              <w:spacing w:before="0" w:beforeAutospacing="0" w:after="0" w:afterAutospacing="0"/>
              <w:ind w:left="0" w:right="0"/>
              <w:jc w:val="center"/>
              <w:outlineLvl w:val="9"/>
              <w:rPr>
                <w:rFonts w:hint="eastAsia" w:ascii="宋体" w:hAnsi="宋体" w:eastAsia="宋体" w:cs="Arial"/>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59060A30">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r>
      <w:tr w14:paraId="6B5E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C942C87">
            <w:pPr>
              <w:pStyle w:val="3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leftChars="0" w:right="0" w:rightChars="0"/>
              <w:outlineLvl w:val="9"/>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4</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0AEF5C82">
            <w:pPr>
              <w:pStyle w:val="33"/>
              <w:keepNext w:val="0"/>
              <w:keepLines w:val="0"/>
              <w:widowControl w:val="0"/>
              <w:suppressLineNumbers w:val="0"/>
              <w:spacing w:before="0" w:beforeAutospacing="0" w:after="0" w:afterAutospacing="0" w:line="360" w:lineRule="auto"/>
              <w:ind w:left="0" w:leftChars="0" w:right="0" w:rightChars="0"/>
              <w:outlineLvl w:val="9"/>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免费服务（质保）期限</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12AC70C8">
            <w:pPr>
              <w:pStyle w:val="33"/>
              <w:keepNext w:val="0"/>
              <w:keepLines w:val="0"/>
              <w:widowControl w:val="0"/>
              <w:suppressLineNumbers w:val="0"/>
              <w:spacing w:before="0" w:beforeAutospacing="0" w:after="0" w:afterAutospacing="0" w:line="360" w:lineRule="auto"/>
              <w:ind w:left="0" w:leftChars="0" w:right="0" w:rightChars="0"/>
              <w:jc w:val="left"/>
              <w:outlineLvl w:val="9"/>
              <w:rPr>
                <w:rFonts w:hint="eastAsia" w:ascii="宋体" w:hAnsi="宋体" w:eastAsia="宋体" w:cs="@仿宋_GB2312"/>
                <w:b/>
                <w:bCs w:val="0"/>
                <w:color w:val="auto"/>
                <w:kern w:val="0"/>
                <w:sz w:val="24"/>
                <w:szCs w:val="28"/>
                <w:highlight w:val="none"/>
                <w:lang w:val="en-US" w:eastAsia="zh-CN" w:bidi="ar-SA"/>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32AD348A">
            <w:pPr>
              <w:pStyle w:val="19"/>
              <w:keepNext w:val="0"/>
              <w:keepLines w:val="0"/>
              <w:widowControl w:val="0"/>
              <w:suppressLineNumbers w:val="0"/>
              <w:spacing w:before="0" w:beforeAutospacing="0" w:after="0" w:afterAutospacing="0"/>
              <w:ind w:left="0" w:right="0"/>
              <w:jc w:val="center"/>
              <w:outlineLvl w:val="9"/>
              <w:rPr>
                <w:rFonts w:hint="eastAsia" w:ascii="宋体" w:hAnsi="宋体" w:eastAsia="宋体" w:cs="Arial"/>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78736CF9">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r>
      <w:tr w14:paraId="3707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1417A16">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272D2A7D">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55ED189E">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3CDBB64F">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50FF7C8C">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r>
    </w:tbl>
    <w:p w14:paraId="4B773772">
      <w:pPr>
        <w:spacing w:line="360" w:lineRule="auto"/>
        <w:ind w:firstLine="435"/>
        <w:outlineLvl w:val="9"/>
        <w:rPr>
          <w:rFonts w:asciiTheme="minorEastAsia" w:hAnsiTheme="minorEastAsia" w:eastAsiaTheme="minorEastAsia"/>
          <w:bCs/>
          <w:i/>
          <w:iCs/>
          <w:color w:val="auto"/>
          <w:sz w:val="24"/>
          <w:szCs w:val="24"/>
          <w:highlight w:val="none"/>
        </w:rPr>
      </w:pPr>
      <w:r>
        <w:rPr>
          <w:rFonts w:hint="eastAsia" w:asciiTheme="minorEastAsia" w:hAnsiTheme="minorEastAsia" w:eastAsiaTheme="minorEastAsia"/>
          <w:b/>
          <w:color w:val="auto"/>
          <w:sz w:val="24"/>
          <w:szCs w:val="24"/>
          <w:highlight w:val="none"/>
          <w:lang w:val="en-US" w:eastAsia="zh-CN"/>
        </w:rPr>
        <w:t>2.</w:t>
      </w:r>
      <w:r>
        <w:rPr>
          <w:rFonts w:hint="eastAsia" w:asciiTheme="minorEastAsia" w:hAnsiTheme="minorEastAsia" w:eastAsiaTheme="minorEastAsia"/>
          <w:b/>
          <w:color w:val="auto"/>
          <w:sz w:val="24"/>
          <w:szCs w:val="24"/>
          <w:highlight w:val="none"/>
        </w:rPr>
        <w:t>技术响应表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0EC0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4E3A3726">
            <w:pPr>
              <w:pStyle w:val="11"/>
              <w:keepNext w:val="0"/>
              <w:keepLines w:val="0"/>
              <w:suppressLineNumbers w:val="0"/>
              <w:spacing w:before="0" w:beforeAutospacing="0" w:after="0" w:afterAutospacing="0"/>
              <w:ind w:left="0" w:right="0"/>
              <w:jc w:val="center"/>
              <w:outlineLvl w:val="9"/>
              <w:rPr>
                <w:rFonts w:hint="default" w:cs="Wingdings" w:asciiTheme="minorEastAsia" w:hAnsiTheme="minorEastAsia"/>
                <w:b/>
                <w:color w:val="auto"/>
                <w:sz w:val="24"/>
                <w:szCs w:val="24"/>
                <w:highlight w:val="none"/>
              </w:rPr>
            </w:pPr>
            <w:r>
              <w:rPr>
                <w:rFonts w:hint="eastAsia" w:cs="Wingdings" w:asciiTheme="minorEastAsia" w:hAnsiTheme="minorEastAsia"/>
                <w:b/>
                <w:color w:val="auto"/>
                <w:sz w:val="24"/>
                <w:szCs w:val="24"/>
                <w:highlight w:val="none"/>
              </w:rPr>
              <w:t>序号</w:t>
            </w:r>
          </w:p>
        </w:tc>
        <w:tc>
          <w:tcPr>
            <w:tcW w:w="915" w:type="pct"/>
            <w:vAlign w:val="center"/>
          </w:tcPr>
          <w:p w14:paraId="04E44E6A">
            <w:pPr>
              <w:pStyle w:val="11"/>
              <w:keepNext w:val="0"/>
              <w:keepLines w:val="0"/>
              <w:suppressLineNumbers w:val="0"/>
              <w:spacing w:before="0" w:beforeAutospacing="0" w:after="0" w:afterAutospacing="0"/>
              <w:ind w:left="0" w:right="0"/>
              <w:jc w:val="center"/>
              <w:outlineLvl w:val="9"/>
              <w:rPr>
                <w:rFonts w:hint="eastAsia" w:cs="Wingdings" w:asciiTheme="minorEastAsia" w:hAnsiTheme="minorEastAsia" w:eastAsiaTheme="minorEastAsia"/>
                <w:b/>
                <w:color w:val="auto"/>
                <w:sz w:val="24"/>
                <w:szCs w:val="24"/>
                <w:highlight w:val="none"/>
                <w:lang w:eastAsia="zh-CN"/>
              </w:rPr>
            </w:pPr>
            <w:r>
              <w:rPr>
                <w:rFonts w:hint="eastAsia" w:asciiTheme="minorEastAsia" w:hAnsiTheme="minorEastAsia"/>
                <w:b/>
                <w:bCs/>
                <w:color w:val="auto"/>
                <w:sz w:val="24"/>
                <w:szCs w:val="24"/>
                <w:highlight w:val="none"/>
                <w:lang w:val="en-US" w:eastAsia="zh-CN"/>
              </w:rPr>
              <w:t>品目名称</w:t>
            </w:r>
          </w:p>
        </w:tc>
        <w:tc>
          <w:tcPr>
            <w:tcW w:w="1680" w:type="pct"/>
            <w:vAlign w:val="center"/>
          </w:tcPr>
          <w:p w14:paraId="73C6144C">
            <w:pPr>
              <w:pStyle w:val="11"/>
              <w:keepNext w:val="0"/>
              <w:keepLines w:val="0"/>
              <w:suppressLineNumbers w:val="0"/>
              <w:spacing w:before="0" w:beforeAutospacing="0" w:after="0" w:afterAutospacing="0"/>
              <w:ind w:left="0" w:right="0"/>
              <w:jc w:val="center"/>
              <w:outlineLvl w:val="9"/>
              <w:rPr>
                <w:rFonts w:hint="default" w:cs="Wingdings" w:asciiTheme="minorEastAsia" w:hAnsiTheme="minorEastAsia" w:eastAsiaTheme="minorEastAsia"/>
                <w:b/>
                <w:color w:val="auto"/>
                <w:sz w:val="24"/>
                <w:szCs w:val="24"/>
                <w:highlight w:val="none"/>
                <w:lang w:val="en-US" w:eastAsia="zh-CN"/>
              </w:rPr>
            </w:pPr>
            <w:r>
              <w:rPr>
                <w:rFonts w:hint="eastAsia" w:cs="Wingdings" w:asciiTheme="minorEastAsia" w:hAnsiTheme="minorEastAsia"/>
                <w:b/>
                <w:color w:val="auto"/>
                <w:sz w:val="24"/>
                <w:szCs w:val="24"/>
                <w:highlight w:val="none"/>
              </w:rPr>
              <w:t>招标文件规定的</w:t>
            </w:r>
            <w:r>
              <w:rPr>
                <w:rFonts w:hint="eastAsia" w:cs="Wingdings" w:asciiTheme="minorEastAsia" w:hAnsiTheme="minorEastAsia"/>
                <w:b/>
                <w:color w:val="auto"/>
                <w:sz w:val="24"/>
                <w:szCs w:val="24"/>
                <w:highlight w:val="none"/>
                <w:lang w:val="en-US" w:eastAsia="zh-CN"/>
              </w:rPr>
              <w:t>系统具体技术参数</w:t>
            </w:r>
          </w:p>
        </w:tc>
        <w:tc>
          <w:tcPr>
            <w:tcW w:w="1456" w:type="pct"/>
            <w:vAlign w:val="center"/>
          </w:tcPr>
          <w:p w14:paraId="03561F2D">
            <w:pPr>
              <w:pStyle w:val="11"/>
              <w:keepNext w:val="0"/>
              <w:keepLines w:val="0"/>
              <w:suppressLineNumbers w:val="0"/>
              <w:spacing w:before="0" w:beforeAutospacing="0" w:after="0" w:afterAutospacing="0"/>
              <w:ind w:left="0" w:right="0"/>
              <w:jc w:val="center"/>
              <w:outlineLvl w:val="9"/>
              <w:rPr>
                <w:rFonts w:hint="default" w:cs="Wingdings" w:asciiTheme="minorEastAsia" w:hAnsiTheme="minorEastAsia"/>
                <w:b/>
                <w:color w:val="auto"/>
                <w:sz w:val="24"/>
                <w:szCs w:val="24"/>
                <w:highlight w:val="none"/>
              </w:rPr>
            </w:pPr>
            <w:r>
              <w:rPr>
                <w:rFonts w:hint="eastAsia" w:cs="Wingdings" w:asciiTheme="minorEastAsia" w:hAnsiTheme="minorEastAsia"/>
                <w:b/>
                <w:color w:val="auto"/>
                <w:sz w:val="24"/>
                <w:szCs w:val="24"/>
                <w:highlight w:val="none"/>
              </w:rPr>
              <w:t>所投产品的</w:t>
            </w:r>
            <w:r>
              <w:rPr>
                <w:rFonts w:hint="eastAsia" w:cs="Wingdings" w:asciiTheme="minorEastAsia" w:hAnsiTheme="minorEastAsia"/>
                <w:b/>
                <w:color w:val="auto"/>
                <w:sz w:val="24"/>
                <w:szCs w:val="24"/>
                <w:highlight w:val="none"/>
                <w:lang w:val="en-US" w:eastAsia="zh-CN"/>
              </w:rPr>
              <w:t>系统具体技术参数</w:t>
            </w:r>
          </w:p>
        </w:tc>
        <w:tc>
          <w:tcPr>
            <w:tcW w:w="502" w:type="pct"/>
            <w:vAlign w:val="center"/>
          </w:tcPr>
          <w:p w14:paraId="08199A2A">
            <w:pPr>
              <w:pStyle w:val="11"/>
              <w:keepNext w:val="0"/>
              <w:keepLines w:val="0"/>
              <w:suppressLineNumbers w:val="0"/>
              <w:spacing w:before="0" w:beforeAutospacing="0" w:after="0" w:afterAutospacing="0"/>
              <w:ind w:left="0" w:right="0"/>
              <w:jc w:val="center"/>
              <w:outlineLvl w:val="9"/>
              <w:rPr>
                <w:rFonts w:hint="default" w:cs="Wingdings" w:asciiTheme="minorEastAsia" w:hAnsiTheme="minorEastAsia"/>
                <w:b/>
                <w:color w:val="auto"/>
                <w:sz w:val="24"/>
                <w:szCs w:val="24"/>
                <w:highlight w:val="none"/>
              </w:rPr>
            </w:pPr>
            <w:r>
              <w:rPr>
                <w:rFonts w:hint="eastAsia" w:cs="Wingdings" w:asciiTheme="minorEastAsia" w:hAnsiTheme="minorEastAsia"/>
                <w:b/>
                <w:color w:val="auto"/>
                <w:sz w:val="24"/>
                <w:szCs w:val="24"/>
                <w:highlight w:val="none"/>
              </w:rPr>
              <w:t>偏离说明</w:t>
            </w:r>
          </w:p>
        </w:tc>
      </w:tr>
      <w:tr w14:paraId="1302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BE91512">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915" w:type="pct"/>
            <w:vAlign w:val="center"/>
          </w:tcPr>
          <w:p w14:paraId="5F9C9E99">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680" w:type="pct"/>
            <w:vAlign w:val="center"/>
          </w:tcPr>
          <w:p w14:paraId="1709CCD0">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456" w:type="pct"/>
            <w:vAlign w:val="center"/>
          </w:tcPr>
          <w:p w14:paraId="5CD700C0">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502" w:type="pct"/>
            <w:vAlign w:val="center"/>
          </w:tcPr>
          <w:p w14:paraId="28215D17">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r>
      <w:tr w14:paraId="5181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C3DAEC4">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915" w:type="pct"/>
            <w:vAlign w:val="center"/>
          </w:tcPr>
          <w:p w14:paraId="0B4D20E3">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680" w:type="pct"/>
            <w:vAlign w:val="center"/>
          </w:tcPr>
          <w:p w14:paraId="68846D9C">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456" w:type="pct"/>
            <w:vAlign w:val="center"/>
          </w:tcPr>
          <w:p w14:paraId="0CD7BC34">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502" w:type="pct"/>
            <w:vAlign w:val="center"/>
          </w:tcPr>
          <w:p w14:paraId="2914D8C7">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r>
      <w:tr w14:paraId="5ACF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53C5EA4">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915" w:type="pct"/>
            <w:vAlign w:val="center"/>
          </w:tcPr>
          <w:p w14:paraId="04E6EE4D">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680" w:type="pct"/>
            <w:vAlign w:val="center"/>
          </w:tcPr>
          <w:p w14:paraId="68DF04B4">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456" w:type="pct"/>
            <w:vAlign w:val="center"/>
          </w:tcPr>
          <w:p w14:paraId="46FAAD38">
            <w:pPr>
              <w:pStyle w:val="41"/>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502" w:type="pct"/>
            <w:vAlign w:val="center"/>
          </w:tcPr>
          <w:p w14:paraId="4A126C1A">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r>
      <w:tr w14:paraId="4F52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1237B3E">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915" w:type="pct"/>
            <w:vAlign w:val="center"/>
          </w:tcPr>
          <w:p w14:paraId="623C30DD">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680" w:type="pct"/>
            <w:vAlign w:val="center"/>
          </w:tcPr>
          <w:p w14:paraId="4C696588">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456" w:type="pct"/>
            <w:vAlign w:val="center"/>
          </w:tcPr>
          <w:p w14:paraId="34A79C16">
            <w:pPr>
              <w:pStyle w:val="41"/>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502" w:type="pct"/>
            <w:vAlign w:val="center"/>
          </w:tcPr>
          <w:p w14:paraId="530721D3">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r>
      <w:tr w14:paraId="162F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EF67A83">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915" w:type="pct"/>
            <w:vAlign w:val="center"/>
          </w:tcPr>
          <w:p w14:paraId="79ACB56C">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680" w:type="pct"/>
            <w:vAlign w:val="center"/>
          </w:tcPr>
          <w:p w14:paraId="0AF35C0B">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456" w:type="pct"/>
            <w:vAlign w:val="center"/>
          </w:tcPr>
          <w:p w14:paraId="7DCEDC8B">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502" w:type="pct"/>
            <w:vAlign w:val="center"/>
          </w:tcPr>
          <w:p w14:paraId="0D8BA039">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r>
    </w:tbl>
    <w:p w14:paraId="69AFA07D">
      <w:pPr>
        <w:keepNext w:val="0"/>
        <w:keepLines w:val="0"/>
        <w:widowControl w:val="0"/>
        <w:suppressLineNumbers w:val="0"/>
        <w:spacing w:before="0" w:beforeAutospacing="0" w:after="0" w:afterAutospacing="0" w:line="360" w:lineRule="auto"/>
        <w:ind w:left="0" w:right="0" w:firstLine="4800" w:firstLineChars="2000"/>
        <w:jc w:val="both"/>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6C224F08">
      <w:pPr>
        <w:keepNext w:val="0"/>
        <w:keepLines w:val="0"/>
        <w:widowControl w:val="0"/>
        <w:suppressLineNumbers w:val="0"/>
        <w:spacing w:before="0" w:beforeAutospacing="0" w:after="0" w:afterAutospacing="0" w:line="360" w:lineRule="auto"/>
        <w:ind w:left="0" w:right="0" w:firstLine="4800" w:firstLineChars="2000"/>
        <w:jc w:val="both"/>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DFB807B">
      <w:pPr>
        <w:keepNext w:val="0"/>
        <w:keepLines w:val="0"/>
        <w:widowControl w:val="0"/>
        <w:suppressLineNumbers w:val="0"/>
        <w:spacing w:before="0" w:beforeAutospacing="0" w:after="0" w:afterAutospacing="0" w:line="360" w:lineRule="auto"/>
        <w:ind w:left="0" w:right="0" w:firstLine="4800" w:firstLineChars="2000"/>
        <w:jc w:val="both"/>
        <w:outlineLvl w:val="9"/>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w:t>
      </w:r>
      <w:r>
        <w:rPr>
          <w:rFonts w:hint="eastAsia" w:ascii="宋体" w:hAnsi="宋体" w:eastAsia="宋体" w:cs="宋体"/>
          <w:color w:val="auto"/>
          <w:sz w:val="24"/>
          <w:szCs w:val="24"/>
          <w:highlight w:val="none"/>
          <w:lang w:val="en-US" w:eastAsia="zh-CN" w:bidi="ar"/>
        </w:rPr>
        <w:t>盖章</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u w:val="single"/>
          <w:lang w:val="en-US" w:eastAsia="zh-CN" w:bidi="ar"/>
        </w:rPr>
        <w:t xml:space="preserve">             </w:t>
      </w:r>
    </w:p>
    <w:p w14:paraId="01954167">
      <w:pPr>
        <w:keepNext w:val="0"/>
        <w:keepLines w:val="0"/>
        <w:widowControl w:val="0"/>
        <w:suppressLineNumbers w:val="0"/>
        <w:spacing w:before="0" w:beforeAutospacing="0" w:after="0" w:afterAutospacing="0" w:line="360" w:lineRule="auto"/>
        <w:ind w:left="0" w:right="0" w:firstLine="4800" w:firstLineChars="2000"/>
        <w:jc w:val="both"/>
        <w:outlineLvl w:val="9"/>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18A3A5FA">
      <w:pPr>
        <w:pStyle w:val="19"/>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Arial"/>
          <w:b w:val="0"/>
          <w:color w:val="auto"/>
          <w:kern w:val="2"/>
          <w:sz w:val="24"/>
          <w:szCs w:val="24"/>
          <w:highlight w:val="none"/>
        </w:rPr>
      </w:pPr>
      <w:r>
        <w:rPr>
          <w:rFonts w:hint="eastAsia" w:ascii="宋体" w:hAnsi="宋体" w:eastAsia="宋体" w:cs="Arial"/>
          <w:b w:val="0"/>
          <w:color w:val="auto"/>
          <w:kern w:val="2"/>
          <w:sz w:val="24"/>
          <w:szCs w:val="24"/>
          <w:highlight w:val="none"/>
          <w:lang w:val="en-US" w:eastAsia="zh-CN" w:bidi="ar"/>
        </w:rPr>
        <w:br w:type="page"/>
      </w:r>
    </w:p>
    <w:p w14:paraId="0683CC00">
      <w:pPr>
        <w:keepNext w:val="0"/>
        <w:keepLines w:val="0"/>
        <w:widowControl w:val="0"/>
        <w:suppressLineNumbers w:val="0"/>
        <w:spacing w:before="0" w:beforeAutospacing="0" w:after="0" w:afterAutospacing="0" w:line="360" w:lineRule="auto"/>
        <w:ind w:left="0" w:right="0"/>
        <w:jc w:val="center"/>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二、诚信履约承诺函</w:t>
      </w:r>
    </w:p>
    <w:p w14:paraId="2DA8B71A">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bidi="ar"/>
        </w:rPr>
        <w:t xml:space="preserve"> </w:t>
      </w:r>
    </w:p>
    <w:p w14:paraId="16B23B1A">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u w:val="single"/>
        </w:rPr>
      </w:pPr>
      <w:r>
        <w:rPr>
          <w:rFonts w:hint="eastAsia" w:ascii="宋体" w:hAnsi="宋体" w:eastAsia="宋体" w:cs="宋体"/>
          <w:b/>
          <w:bCs/>
          <w:color w:val="auto"/>
          <w:kern w:val="2"/>
          <w:sz w:val="24"/>
          <w:szCs w:val="24"/>
          <w:highlight w:val="none"/>
          <w:lang w:val="en-US" w:eastAsia="zh-CN" w:bidi="ar"/>
        </w:rPr>
        <w:t>致：采购人</w:t>
      </w:r>
    </w:p>
    <w:p w14:paraId="0BD44E76">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3BE17152">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（1）中标或者成交后无正当理由拒不与采购人签订政府采购合同；</w:t>
      </w:r>
    </w:p>
    <w:p w14:paraId="33221085">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（2）未按照采购文件确定的事项签订政府采购合同；</w:t>
      </w:r>
    </w:p>
    <w:p w14:paraId="4372DCF5">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（3）将政府采购合同转包；</w:t>
      </w:r>
    </w:p>
    <w:p w14:paraId="0289FF79">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（4）提供假冒伪劣产品；</w:t>
      </w:r>
    </w:p>
    <w:p w14:paraId="558272D2">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（5）擅自变更、中止或者终止政府采购合同。</w:t>
      </w:r>
    </w:p>
    <w:p w14:paraId="263F73DB">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26B312E">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仿宋_GB2312"/>
          <w:bCs/>
          <w:color w:val="auto"/>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本承诺声明：</w:t>
      </w:r>
      <w:r>
        <w:rPr>
          <w:rFonts w:hint="eastAsia" w:ascii="宋体" w:hAnsi="宋体" w:eastAsia="宋体" w:cs="@仿宋_GB2312"/>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u w:val="single"/>
          <w:lang w:val="en-US" w:eastAsia="zh-CN" w:bidi="ar"/>
        </w:rPr>
        <w:t>（投标人名称）</w:t>
      </w:r>
      <w:r>
        <w:rPr>
          <w:rFonts w:hint="eastAsia" w:ascii="宋体" w:hAnsi="宋体" w:eastAsia="宋体" w:cs="@仿宋_GB2312"/>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lang w:val="en-US" w:eastAsia="zh-CN" w:bidi="ar"/>
        </w:rPr>
        <w:t>对本招标文件的相关要求完全响应。若有幸中标将严格按照以上承诺进行供货和服务。</w:t>
      </w:r>
    </w:p>
    <w:p w14:paraId="0736687C">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仿宋_GB2312"/>
          <w:bCs/>
          <w:color w:val="auto"/>
          <w:kern w:val="2"/>
          <w:sz w:val="24"/>
          <w:szCs w:val="24"/>
          <w:highlight w:val="none"/>
          <w:lang w:val="en-US" w:eastAsia="zh-CN" w:bidi="ar"/>
        </w:rPr>
        <w:t xml:space="preserve"> </w:t>
      </w:r>
    </w:p>
    <w:p w14:paraId="186E364E">
      <w:pPr>
        <w:keepNext w:val="0"/>
        <w:keepLines w:val="0"/>
        <w:widowControl w:val="0"/>
        <w:suppressLineNumbers w:val="0"/>
        <w:spacing w:before="0" w:beforeAutospacing="0" w:after="0" w:afterAutospacing="0" w:line="360" w:lineRule="auto"/>
        <w:ind w:left="0" w:right="0" w:firstLine="4320" w:firstLineChars="1800"/>
        <w:jc w:val="both"/>
        <w:outlineLvl w:val="9"/>
        <w:rPr>
          <w:rFonts w:hint="eastAsia" w:ascii="宋体" w:hAnsi="宋体" w:eastAsia="宋体" w:cs="@仿宋_GB2312"/>
          <w:bCs/>
          <w:color w:val="auto"/>
          <w:kern w:val="2"/>
          <w:sz w:val="24"/>
          <w:szCs w:val="24"/>
          <w:highlight w:val="none"/>
          <w:u w:val="single"/>
        </w:rPr>
      </w:pPr>
      <w:r>
        <w:rPr>
          <w:rFonts w:hint="eastAsia" w:ascii="宋体" w:hAnsi="宋体" w:eastAsia="宋体" w:cs="宋体"/>
          <w:bCs/>
          <w:color w:val="auto"/>
          <w:kern w:val="2"/>
          <w:sz w:val="24"/>
          <w:szCs w:val="24"/>
          <w:highlight w:val="none"/>
          <w:lang w:val="en-US" w:eastAsia="zh-CN" w:bidi="ar"/>
        </w:rPr>
        <w:t>投标人</w:t>
      </w:r>
      <w:r>
        <w:rPr>
          <w:rFonts w:hint="eastAsia" w:ascii="宋体" w:hAnsi="宋体" w:eastAsia="宋体" w:cs="宋体"/>
          <w:color w:val="auto"/>
          <w:sz w:val="24"/>
          <w:szCs w:val="24"/>
          <w:highlight w:val="none"/>
          <w:lang w:val="en-US" w:eastAsia="zh-CN" w:bidi="ar"/>
        </w:rPr>
        <w:t>盖章</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仿宋_GB2312"/>
          <w:bCs/>
          <w:color w:val="auto"/>
          <w:kern w:val="2"/>
          <w:sz w:val="24"/>
          <w:szCs w:val="24"/>
          <w:highlight w:val="none"/>
          <w:u w:val="single"/>
          <w:lang w:val="en-US" w:eastAsia="zh-CN" w:bidi="ar"/>
        </w:rPr>
        <w:t xml:space="preserve">             </w:t>
      </w:r>
    </w:p>
    <w:p w14:paraId="04B04279">
      <w:pPr>
        <w:keepNext w:val="0"/>
        <w:keepLines w:val="0"/>
        <w:widowControl w:val="0"/>
        <w:suppressLineNumbers w:val="0"/>
        <w:spacing w:before="0" w:beforeAutospacing="0" w:after="0" w:afterAutospacing="0" w:line="360" w:lineRule="auto"/>
        <w:ind w:left="0" w:right="0" w:firstLine="4320" w:firstLineChars="18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日</w:t>
      </w:r>
      <w:r>
        <w:rPr>
          <w:rFonts w:hint="eastAsia" w:ascii="宋体" w:hAnsi="宋体" w:eastAsia="宋体" w:cs="@仿宋_GB2312"/>
          <w:bCs/>
          <w:color w:val="auto"/>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期：</w:t>
      </w:r>
      <w:r>
        <w:rPr>
          <w:rFonts w:hint="eastAsia" w:ascii="宋体" w:hAnsi="宋体" w:eastAsia="宋体" w:cs="@仿宋_GB2312"/>
          <w:bCs/>
          <w:color w:val="auto"/>
          <w:kern w:val="2"/>
          <w:sz w:val="24"/>
          <w:szCs w:val="24"/>
          <w:highlight w:val="none"/>
          <w:u w:val="single"/>
          <w:lang w:val="en-US" w:eastAsia="zh-CN" w:bidi="ar"/>
        </w:rPr>
        <w:t xml:space="preserve">             </w:t>
      </w:r>
    </w:p>
    <w:p w14:paraId="76613BB7">
      <w:pPr>
        <w:keepNext w:val="0"/>
        <w:keepLines w:val="0"/>
        <w:widowControl/>
        <w:suppressLineNumbers w:val="0"/>
        <w:spacing w:before="0" w:beforeAutospacing="0" w:after="0" w:afterAutospacing="0"/>
        <w:ind w:left="0" w:right="0"/>
        <w:jc w:val="left"/>
        <w:outlineLvl w:val="9"/>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br w:type="page"/>
      </w:r>
    </w:p>
    <w:p w14:paraId="0FD6669A">
      <w:pPr>
        <w:keepNext w:val="0"/>
        <w:keepLines w:val="0"/>
        <w:widowControl w:val="0"/>
        <w:suppressLineNumbers w:val="0"/>
        <w:spacing w:before="0" w:beforeAutospacing="0" w:after="0" w:afterAutospacing="0"/>
        <w:ind w:left="0" w:right="0"/>
        <w:jc w:val="both"/>
        <w:outlineLvl w:val="9"/>
        <w:rPr>
          <w:rFonts w:hint="eastAsia" w:ascii="Times New Roman" w:hAnsi="Times New Roman" w:eastAsia="宋体" w:cs="Times New Roman"/>
          <w:color w:val="auto"/>
          <w:kern w:val="2"/>
          <w:sz w:val="21"/>
          <w:szCs w:val="21"/>
          <w:highlight w:val="none"/>
        </w:rPr>
      </w:pPr>
    </w:p>
    <w:p w14:paraId="7561351D">
      <w:pPr>
        <w:keepNext w:val="0"/>
        <w:keepLines w:val="0"/>
        <w:widowControl w:val="0"/>
        <w:suppressLineNumbers w:val="0"/>
        <w:spacing w:before="0" w:beforeAutospacing="0" w:after="0" w:afterAutospacing="0"/>
        <w:ind w:left="0" w:right="0"/>
        <w:jc w:val="both"/>
        <w:outlineLvl w:val="9"/>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3301BB08">
      <w:pPr>
        <w:keepNext w:val="0"/>
        <w:keepLines w:val="0"/>
        <w:widowControl w:val="0"/>
        <w:suppressLineNumbers w:val="0"/>
        <w:spacing w:before="0" w:beforeAutospacing="0" w:after="0" w:afterAutospacing="0"/>
        <w:ind w:left="0" w:right="0"/>
        <w:jc w:val="right"/>
        <w:outlineLvl w:val="9"/>
        <w:rPr>
          <w:rFonts w:hint="eastAsia" w:ascii="宋体" w:hAnsi="宋体" w:eastAsia="宋体" w:cs="宋体"/>
          <w:b/>
          <w:bCs/>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bidi="ar"/>
        </w:rPr>
        <w:t>注明正本或副本</w:t>
      </w:r>
    </w:p>
    <w:p w14:paraId="51936912">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b/>
          <w:bCs w:val="0"/>
          <w:color w:val="auto"/>
          <w:kern w:val="2"/>
          <w:sz w:val="44"/>
          <w:szCs w:val="44"/>
          <w:highlight w:val="none"/>
        </w:rPr>
      </w:pPr>
      <w:r>
        <w:rPr>
          <w:rFonts w:hint="eastAsia" w:ascii="宋体" w:hAnsi="Times New Roman" w:eastAsia="宋体" w:cs="Times New Roman"/>
          <w:b/>
          <w:bCs w:val="0"/>
          <w:color w:val="auto"/>
          <w:kern w:val="2"/>
          <w:sz w:val="44"/>
          <w:szCs w:val="44"/>
          <w:highlight w:val="none"/>
          <w:lang w:val="en-US" w:eastAsia="zh-CN" w:bidi="ar"/>
        </w:rPr>
        <w:t xml:space="preserve"> </w:t>
      </w:r>
    </w:p>
    <w:p w14:paraId="0958208F">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b/>
          <w:bCs w:val="0"/>
          <w:color w:val="auto"/>
          <w:kern w:val="2"/>
          <w:sz w:val="44"/>
          <w:szCs w:val="44"/>
          <w:highlight w:val="none"/>
        </w:rPr>
      </w:pPr>
      <w:r>
        <w:rPr>
          <w:rFonts w:hint="eastAsia" w:ascii="宋体" w:hAnsi="Times New Roman" w:eastAsia="宋体" w:cs="Times New Roman"/>
          <w:b/>
          <w:bCs w:val="0"/>
          <w:color w:val="auto"/>
          <w:kern w:val="2"/>
          <w:sz w:val="44"/>
          <w:szCs w:val="44"/>
          <w:highlight w:val="none"/>
          <w:lang w:val="en-US" w:eastAsia="zh-CN" w:bidi="ar"/>
        </w:rPr>
        <w:t xml:space="preserve"> </w:t>
      </w:r>
    </w:p>
    <w:p w14:paraId="4D91AECE">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商务标</w:t>
      </w:r>
    </w:p>
    <w:p w14:paraId="65E12ED4">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36"/>
          <w:szCs w:val="36"/>
          <w:highlight w:val="none"/>
        </w:rPr>
      </w:pPr>
      <w:r>
        <w:rPr>
          <w:rFonts w:hint="eastAsia" w:ascii="宋体" w:hAnsi="宋体" w:eastAsia="宋体" w:cs="宋体"/>
          <w:color w:val="auto"/>
          <w:kern w:val="2"/>
          <w:sz w:val="44"/>
          <w:szCs w:val="44"/>
          <w:highlight w:val="none"/>
          <w:lang w:val="en-US" w:eastAsia="zh-CN" w:bidi="ar"/>
        </w:rPr>
        <w:t>（</w:t>
      </w:r>
      <w:r>
        <w:rPr>
          <w:rFonts w:hint="eastAsia" w:ascii="宋体" w:hAnsi="宋体" w:eastAsia="宋体" w:cs="宋体"/>
          <w:color w:val="auto"/>
          <w:kern w:val="2"/>
          <w:sz w:val="36"/>
          <w:szCs w:val="36"/>
          <w:highlight w:val="none"/>
          <w:lang w:val="en-US" w:eastAsia="zh-CN" w:bidi="ar"/>
        </w:rPr>
        <w:t>投标文件三）</w:t>
      </w:r>
    </w:p>
    <w:p w14:paraId="4F339E87">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36"/>
          <w:szCs w:val="36"/>
          <w:highlight w:val="none"/>
        </w:rPr>
      </w:pPr>
      <w:r>
        <w:rPr>
          <w:rFonts w:hint="eastAsia" w:ascii="宋体" w:hAnsi="Times New Roman" w:eastAsia="宋体" w:cs="Times New Roman"/>
          <w:color w:val="auto"/>
          <w:kern w:val="2"/>
          <w:sz w:val="36"/>
          <w:szCs w:val="36"/>
          <w:highlight w:val="none"/>
          <w:lang w:val="en-US" w:eastAsia="zh-CN" w:bidi="ar"/>
        </w:rPr>
        <w:t xml:space="preserve"> </w:t>
      </w:r>
    </w:p>
    <w:p w14:paraId="46BD55B7">
      <w:pPr>
        <w:keepNext w:val="0"/>
        <w:keepLines w:val="0"/>
        <w:widowControl w:val="0"/>
        <w:suppressLineNumbers w:val="0"/>
        <w:spacing w:before="0" w:beforeAutospacing="0" w:after="0" w:afterAutospacing="0"/>
        <w:ind w:left="0" w:right="0" w:firstLine="3360" w:firstLineChars="1200"/>
        <w:jc w:val="both"/>
        <w:outlineLvl w:val="9"/>
        <w:rPr>
          <w:rFonts w:hint="eastAsia" w:ascii="宋体" w:hAnsi="Times New Roman" w:eastAsia="宋体" w:cs="Times New Roman"/>
          <w:color w:val="auto"/>
          <w:kern w:val="2"/>
          <w:sz w:val="44"/>
          <w:szCs w:val="44"/>
          <w:highlight w:val="none"/>
        </w:rPr>
      </w:pPr>
      <w:r>
        <w:rPr>
          <w:rFonts w:hint="eastAsia" w:ascii="宋体" w:hAnsi="宋体" w:eastAsia="宋体" w:cs="宋体"/>
          <w:color w:val="auto"/>
          <w:kern w:val="2"/>
          <w:sz w:val="28"/>
          <w:szCs w:val="28"/>
          <w:highlight w:val="none"/>
          <w:lang w:val="en-US" w:eastAsia="zh-CN" w:bidi="ar"/>
        </w:rPr>
        <w:t>项目名称：</w:t>
      </w:r>
      <w:r>
        <w:rPr>
          <w:rFonts w:hint="eastAsia" w:ascii="宋体" w:hAnsi="Times New Roman" w:eastAsia="宋体" w:cs="Times New Roman"/>
          <w:color w:val="auto"/>
          <w:kern w:val="2"/>
          <w:sz w:val="28"/>
          <w:szCs w:val="28"/>
          <w:highlight w:val="none"/>
          <w:u w:val="single"/>
          <w:lang w:val="en-US" w:eastAsia="zh-CN" w:bidi="ar"/>
        </w:rPr>
        <w:t xml:space="preserve">    </w:t>
      </w:r>
    </w:p>
    <w:p w14:paraId="6F3A029E">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17321EE4">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3328F5DA">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lang w:val="en-US" w:eastAsia="zh-CN" w:bidi="ar"/>
        </w:rPr>
      </w:pPr>
      <w:r>
        <w:rPr>
          <w:rFonts w:hint="eastAsia" w:ascii="宋体" w:hAnsi="Times New Roman" w:eastAsia="宋体" w:cs="Times New Roman"/>
          <w:color w:val="auto"/>
          <w:kern w:val="2"/>
          <w:sz w:val="28"/>
          <w:szCs w:val="28"/>
          <w:highlight w:val="none"/>
          <w:lang w:val="en-US" w:eastAsia="zh-CN" w:bidi="ar"/>
        </w:rPr>
        <w:t xml:space="preserve"> </w:t>
      </w:r>
    </w:p>
    <w:p w14:paraId="51CB94FA">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lang w:val="en-US" w:eastAsia="zh-CN" w:bidi="ar"/>
        </w:rPr>
      </w:pPr>
    </w:p>
    <w:p w14:paraId="6B88557D">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lang w:val="en-US" w:eastAsia="zh-CN" w:bidi="ar"/>
        </w:rPr>
      </w:pPr>
    </w:p>
    <w:p w14:paraId="59BC234B">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lang w:val="en-US" w:eastAsia="zh-CN" w:bidi="ar"/>
        </w:rPr>
      </w:pPr>
    </w:p>
    <w:p w14:paraId="2883CB1C">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p>
    <w:p w14:paraId="091D52D1">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69D01A98">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124CA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（盖单位章）</w:t>
      </w:r>
    </w:p>
    <w:p w14:paraId="44991E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（签字或盖章）</w:t>
      </w:r>
    </w:p>
    <w:p w14:paraId="074CF5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45EE84E4">
      <w:pPr>
        <w:spacing w:line="360" w:lineRule="auto"/>
        <w:jc w:val="center"/>
        <w:outlineLvl w:val="9"/>
        <w:rPr>
          <w:rFonts w:hint="eastAsia" w:asciiTheme="minorEastAsia" w:hAnsiTheme="minorEastAsia" w:eastAsiaTheme="minorEastAsia"/>
          <w:b/>
          <w:color w:val="auto"/>
          <w:sz w:val="24"/>
          <w:highlight w:val="none"/>
        </w:rPr>
      </w:pPr>
    </w:p>
    <w:p w14:paraId="4572299B">
      <w:pPr>
        <w:spacing w:line="360" w:lineRule="auto"/>
        <w:jc w:val="center"/>
        <w:outlineLvl w:val="9"/>
        <w:rPr>
          <w:rFonts w:hint="eastAsia" w:asciiTheme="minorEastAsia" w:hAnsiTheme="minorEastAsia" w:eastAsiaTheme="minorEastAsia"/>
          <w:b/>
          <w:color w:val="auto"/>
          <w:sz w:val="24"/>
          <w:highlight w:val="none"/>
        </w:rPr>
      </w:pPr>
    </w:p>
    <w:p w14:paraId="3F8D54C4">
      <w:pPr>
        <w:spacing w:line="360" w:lineRule="auto"/>
        <w:jc w:val="center"/>
        <w:outlineLvl w:val="9"/>
        <w:rPr>
          <w:rFonts w:hint="eastAsia" w:asciiTheme="minorEastAsia" w:hAnsiTheme="minorEastAsia" w:eastAsiaTheme="minorEastAsia"/>
          <w:b/>
          <w:color w:val="auto"/>
          <w:sz w:val="24"/>
          <w:highlight w:val="none"/>
        </w:rPr>
      </w:pPr>
    </w:p>
    <w:p w14:paraId="100D1C27">
      <w:pPr>
        <w:spacing w:line="400" w:lineRule="exact"/>
        <w:jc w:val="center"/>
        <w:outlineLvl w:val="9"/>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39EA3CB6">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10D5B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（1）开标一览表（格式见附件）；</w:t>
      </w:r>
    </w:p>
    <w:p w14:paraId="729569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（2）投标函（格式见附件）；</w:t>
      </w:r>
    </w:p>
    <w:p w14:paraId="3BA71B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（3）投标分项报价表（格式见附件）；</w:t>
      </w:r>
    </w:p>
    <w:p w14:paraId="0153EF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（4）招标文件商务评审中要求提供的其他相关资料；</w:t>
      </w:r>
    </w:p>
    <w:p w14:paraId="068B9A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（5）投标人认为需要提供的其他材料；</w:t>
      </w:r>
    </w:p>
    <w:p w14:paraId="198CB2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（6）其他（如有）。</w:t>
      </w:r>
    </w:p>
    <w:p w14:paraId="45BCB2C3">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325CB2F0">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61D606EA">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2456096F">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35C4B125">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5AEB3887">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29D70E4D">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0C9E3BD8">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475E4F7C">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2C24951E">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70536926">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78D5DAD2">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1E513D13">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221676F0">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5224405B">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342753C5">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128932B5">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450F9526">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4C7BB44D">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0E0C49D2">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5801A9D0">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7CD1F402">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0F7129D1">
      <w:pPr>
        <w:spacing w:line="360" w:lineRule="auto"/>
        <w:jc w:val="center"/>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一、开标一览表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38E0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089C675A">
            <w:pPr>
              <w:keepNext w:val="0"/>
              <w:keepLines w:val="0"/>
              <w:widowControl/>
              <w:suppressLineNumbers w:val="0"/>
              <w:spacing w:before="0" w:beforeAutospacing="0" w:after="0" w:afterAutospacing="0" w:line="360" w:lineRule="exact"/>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项目名称</w:t>
            </w:r>
          </w:p>
        </w:tc>
        <w:tc>
          <w:tcPr>
            <w:tcW w:w="3648" w:type="pct"/>
            <w:tcBorders>
              <w:top w:val="single" w:color="auto" w:sz="4" w:space="0"/>
              <w:bottom w:val="single" w:color="auto" w:sz="4" w:space="0"/>
              <w:right w:val="single" w:color="auto" w:sz="4" w:space="0"/>
            </w:tcBorders>
            <w:vAlign w:val="center"/>
          </w:tcPr>
          <w:p w14:paraId="541FEB60">
            <w:pPr>
              <w:keepNext w:val="0"/>
              <w:keepLines w:val="0"/>
              <w:suppressLineNumbers w:val="0"/>
              <w:spacing w:before="0" w:beforeAutospacing="0" w:after="0" w:afterAutospacing="0" w:line="360" w:lineRule="exact"/>
              <w:ind w:left="0" w:right="0"/>
              <w:jc w:val="center"/>
              <w:outlineLvl w:val="9"/>
              <w:rPr>
                <w:rFonts w:hint="default" w:asciiTheme="minorEastAsia" w:hAnsiTheme="minorEastAsia" w:eastAsiaTheme="minorEastAsia"/>
                <w:bCs/>
                <w:color w:val="auto"/>
                <w:sz w:val="24"/>
                <w:szCs w:val="20"/>
                <w:highlight w:val="none"/>
                <w:u w:val="single"/>
              </w:rPr>
            </w:pPr>
          </w:p>
        </w:tc>
      </w:tr>
      <w:tr w14:paraId="3CF0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582DA0A">
            <w:pPr>
              <w:keepNext w:val="0"/>
              <w:keepLines w:val="0"/>
              <w:suppressLineNumbers w:val="0"/>
              <w:spacing w:before="0" w:beforeAutospacing="0" w:after="0" w:afterAutospacing="0" w:line="360" w:lineRule="exact"/>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投标人全称</w:t>
            </w:r>
          </w:p>
        </w:tc>
        <w:tc>
          <w:tcPr>
            <w:tcW w:w="3648" w:type="pct"/>
            <w:tcBorders>
              <w:top w:val="nil"/>
            </w:tcBorders>
            <w:vAlign w:val="center"/>
          </w:tcPr>
          <w:p w14:paraId="5EE1284C">
            <w:pPr>
              <w:keepNext w:val="0"/>
              <w:keepLines w:val="0"/>
              <w:suppressLineNumbers w:val="0"/>
              <w:spacing w:before="0" w:beforeAutospacing="0" w:after="0" w:afterAutospacing="0" w:line="360" w:lineRule="auto"/>
              <w:ind w:left="0" w:right="0"/>
              <w:outlineLvl w:val="9"/>
              <w:rPr>
                <w:rFonts w:hint="default" w:asciiTheme="minorEastAsia" w:hAnsiTheme="minorEastAsia" w:eastAsiaTheme="minorEastAsia"/>
                <w:color w:val="auto"/>
                <w:sz w:val="24"/>
                <w:szCs w:val="20"/>
                <w:highlight w:val="none"/>
              </w:rPr>
            </w:pPr>
          </w:p>
        </w:tc>
      </w:tr>
      <w:tr w14:paraId="5B1F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460CFD4">
            <w:pPr>
              <w:keepNext w:val="0"/>
              <w:keepLines w:val="0"/>
              <w:suppressLineNumbers w:val="0"/>
              <w:spacing w:before="0" w:beforeAutospacing="0" w:after="0" w:afterAutospacing="0" w:line="360" w:lineRule="exact"/>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投标范围</w:t>
            </w:r>
          </w:p>
        </w:tc>
        <w:tc>
          <w:tcPr>
            <w:tcW w:w="3648" w:type="pct"/>
            <w:tcBorders>
              <w:top w:val="nil"/>
            </w:tcBorders>
            <w:vAlign w:val="center"/>
          </w:tcPr>
          <w:p w14:paraId="216A349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outlineLvl w:val="9"/>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8"/>
                <w:highlight w:val="none"/>
              </w:rPr>
              <w:t>全部</w:t>
            </w:r>
          </w:p>
        </w:tc>
      </w:tr>
      <w:tr w14:paraId="2373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81800CA">
            <w:pPr>
              <w:keepNext w:val="0"/>
              <w:keepLines w:val="0"/>
              <w:suppressLineNumbers w:val="0"/>
              <w:spacing w:before="0" w:beforeAutospacing="0" w:after="0" w:afterAutospacing="0" w:line="360" w:lineRule="exact"/>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投标报价</w:t>
            </w:r>
          </w:p>
        </w:tc>
        <w:tc>
          <w:tcPr>
            <w:tcW w:w="3648" w:type="pct"/>
            <w:tcBorders>
              <w:top w:val="nil"/>
            </w:tcBorders>
            <w:vAlign w:val="center"/>
          </w:tcPr>
          <w:p w14:paraId="1F37634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0C9325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670"/>
              <w:outlineLvl w:val="9"/>
              <w:rPr>
                <w:rFonts w:hint="eastAsia" w:eastAsia="宋体" w:asciiTheme="minorEastAsia" w:hAnsiTheme="minorEastAsia"/>
                <w:color w:val="auto"/>
                <w:sz w:val="24"/>
                <w:szCs w:val="20"/>
                <w:highlight w:val="none"/>
                <w:lang w:val="en-US" w:eastAsia="zh-CN"/>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元</w:t>
            </w:r>
          </w:p>
        </w:tc>
      </w:tr>
      <w:tr w14:paraId="5E3E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6B54408B">
            <w:pPr>
              <w:keepNext w:val="0"/>
              <w:keepLines w:val="0"/>
              <w:suppressLineNumbers w:val="0"/>
              <w:spacing w:before="0" w:beforeAutospacing="0" w:after="0" w:afterAutospacing="0" w:line="360" w:lineRule="auto"/>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其他</w:t>
            </w:r>
          </w:p>
        </w:tc>
        <w:tc>
          <w:tcPr>
            <w:tcW w:w="3648" w:type="pct"/>
            <w:tcBorders>
              <w:top w:val="nil"/>
            </w:tcBorders>
            <w:vAlign w:val="center"/>
          </w:tcPr>
          <w:p w14:paraId="4A8A71D1">
            <w:pPr>
              <w:keepNext w:val="0"/>
              <w:keepLines w:val="0"/>
              <w:suppressLineNumbers w:val="0"/>
              <w:spacing w:before="0" w:beforeAutospacing="0" w:after="0" w:afterAutospacing="0" w:line="360" w:lineRule="auto"/>
              <w:ind w:left="0" w:right="0"/>
              <w:jc w:val="left"/>
              <w:outlineLvl w:val="9"/>
              <w:rPr>
                <w:rFonts w:hint="default" w:asciiTheme="minorEastAsia" w:hAnsiTheme="minorEastAsia" w:eastAsiaTheme="minorEastAsia"/>
                <w:color w:val="auto"/>
                <w:sz w:val="24"/>
                <w:szCs w:val="28"/>
                <w:highlight w:val="none"/>
              </w:rPr>
            </w:pPr>
          </w:p>
        </w:tc>
      </w:tr>
    </w:tbl>
    <w:p w14:paraId="3C847DE3">
      <w:pPr>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1CEE368">
      <w:pPr>
        <w:tabs>
          <w:tab w:val="left" w:pos="630"/>
        </w:tabs>
        <w:spacing w:line="360" w:lineRule="auto"/>
        <w:ind w:firstLine="4800" w:firstLineChars="2000"/>
        <w:outlineLvl w:val="9"/>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521D08F6">
      <w:pPr>
        <w:spacing w:line="360" w:lineRule="auto"/>
        <w:outlineLvl w:val="9"/>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297003DA">
      <w:pPr>
        <w:spacing w:line="360" w:lineRule="auto"/>
        <w:ind w:firstLine="435"/>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71EDC0B6">
      <w:pPr>
        <w:spacing w:line="360" w:lineRule="auto"/>
        <w:ind w:firstLine="435"/>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表中投标报价作为评审及定标依据。任何有选择或有条件的投标报价，或者表中某一包别填写多个报价，均为无效报价。</w:t>
      </w:r>
    </w:p>
    <w:p w14:paraId="7E65C673">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.表中大写金额与小写金额不一致的，以大写金额为准。</w:t>
      </w:r>
      <w:r>
        <w:rPr>
          <w:rFonts w:asciiTheme="minorEastAsia" w:hAnsiTheme="minorEastAsia" w:eastAsiaTheme="minorEastAsia"/>
          <w:color w:val="auto"/>
          <w:sz w:val="24"/>
          <w:highlight w:val="none"/>
        </w:rPr>
        <w:br w:type="page"/>
      </w:r>
    </w:p>
    <w:p w14:paraId="73B11374">
      <w:pPr>
        <w:spacing w:line="360" w:lineRule="auto"/>
        <w:jc w:val="center"/>
        <w:outlineLvl w:val="9"/>
        <w:rPr>
          <w:rFonts w:asciiTheme="minorEastAsia" w:hAnsiTheme="minorEastAsia" w:eastAsiaTheme="minorEastAsia"/>
          <w:b/>
          <w:color w:val="auto"/>
          <w:sz w:val="24"/>
          <w:highlight w:val="none"/>
        </w:rPr>
      </w:pPr>
      <w:bookmarkStart w:id="24" w:name="_Toc6441"/>
      <w:bookmarkStart w:id="25" w:name="_Toc6120"/>
      <w:r>
        <w:rPr>
          <w:rFonts w:hint="eastAsia" w:asciiTheme="minorEastAsia" w:hAnsiTheme="minorEastAsia" w:eastAsiaTheme="minorEastAsia"/>
          <w:b/>
          <w:color w:val="auto"/>
          <w:sz w:val="24"/>
          <w:highlight w:val="none"/>
        </w:rPr>
        <w:t>二、投标函</w:t>
      </w:r>
      <w:bookmarkEnd w:id="24"/>
      <w:bookmarkEnd w:id="25"/>
    </w:p>
    <w:p w14:paraId="0958B83B">
      <w:pPr>
        <w:pStyle w:val="12"/>
        <w:spacing w:line="360" w:lineRule="auto"/>
        <w:outlineLvl w:val="9"/>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302D35B7">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63723C7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16913059">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.我方已详细审核全部招标文件，包括招标文件</w:t>
      </w:r>
      <w:r>
        <w:rPr>
          <w:rFonts w:hint="eastAsia" w:asciiTheme="minorEastAsia" w:hAnsiTheme="minorEastAsia" w:eastAsiaTheme="minorEastAsia"/>
          <w:color w:val="auto"/>
          <w:sz w:val="24"/>
          <w:highlight w:val="none"/>
          <w:lang w:val="en-US" w:eastAsia="zh-CN"/>
        </w:rPr>
        <w:t>附件及更正公告（如有）</w:t>
      </w:r>
      <w:r>
        <w:rPr>
          <w:rFonts w:hint="eastAsia" w:asciiTheme="minorEastAsia" w:hAnsiTheme="minorEastAsia" w:eastAsiaTheme="minorEastAsia"/>
          <w:color w:val="auto"/>
          <w:sz w:val="24"/>
          <w:highlight w:val="none"/>
        </w:rPr>
        <w:t>，我方正式认可并遵守本次招标文件，并对招标文件各项条款、规定及要求均无异议。</w:t>
      </w:r>
    </w:p>
    <w:p w14:paraId="46C63F9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33DFB68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179B5566">
      <w:pPr>
        <w:spacing w:line="360" w:lineRule="auto"/>
        <w:ind w:firstLine="4800" w:firstLineChars="2000"/>
        <w:outlineLvl w:val="9"/>
        <w:rPr>
          <w:rFonts w:ascii="宋体" w:hAnsi="宋体" w:eastAsia="宋体"/>
          <w:color w:val="auto"/>
          <w:sz w:val="24"/>
          <w:highlight w:val="none"/>
        </w:rPr>
      </w:pPr>
    </w:p>
    <w:p w14:paraId="4E360B49">
      <w:pPr>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B331F81">
      <w:pPr>
        <w:tabs>
          <w:tab w:val="left" w:pos="630"/>
        </w:tabs>
        <w:spacing w:line="360" w:lineRule="auto"/>
        <w:ind w:firstLine="4800" w:firstLineChars="2000"/>
        <w:outlineLvl w:val="9"/>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332CF7E2">
      <w:pPr>
        <w:widowControl/>
        <w:jc w:val="left"/>
        <w:outlineLvl w:val="9"/>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4B28B71E">
      <w:pPr>
        <w:spacing w:line="360" w:lineRule="auto"/>
        <w:jc w:val="center"/>
        <w:outlineLvl w:val="9"/>
        <w:rPr>
          <w:rFonts w:hint="eastAsia" w:asciiTheme="minorEastAsia" w:hAnsiTheme="minorEastAsia" w:eastAsiaTheme="minorEastAsia"/>
          <w:b/>
          <w:color w:val="auto"/>
          <w:sz w:val="24"/>
          <w:highlight w:val="none"/>
        </w:rPr>
      </w:pPr>
      <w:bookmarkStart w:id="26" w:name="_Toc32226"/>
      <w:bookmarkStart w:id="27" w:name="_Toc31027"/>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、投标分项报价表</w:t>
      </w:r>
      <w:bookmarkEnd w:id="26"/>
      <w:bookmarkEnd w:id="27"/>
    </w:p>
    <w:tbl>
      <w:tblPr>
        <w:tblStyle w:val="24"/>
        <w:tblW w:w="62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47"/>
        <w:gridCol w:w="1434"/>
        <w:gridCol w:w="1498"/>
        <w:gridCol w:w="813"/>
        <w:gridCol w:w="888"/>
        <w:gridCol w:w="1148"/>
        <w:gridCol w:w="1214"/>
        <w:gridCol w:w="1305"/>
      </w:tblGrid>
      <w:tr w14:paraId="22EF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445" w:type="pct"/>
            <w:vAlign w:val="center"/>
          </w:tcPr>
          <w:p w14:paraId="4F5AEFE1">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序号</w:t>
            </w:r>
          </w:p>
        </w:tc>
        <w:tc>
          <w:tcPr>
            <w:tcW w:w="635" w:type="pct"/>
            <w:vAlign w:val="center"/>
          </w:tcPr>
          <w:p w14:paraId="58B6FC48">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b/>
                <w:color w:val="auto"/>
                <w:sz w:val="24"/>
                <w:szCs w:val="20"/>
                <w:highlight w:val="none"/>
              </w:rPr>
            </w:pPr>
            <w:r>
              <w:rPr>
                <w:rFonts w:hint="eastAsia" w:ascii="宋体" w:hAnsi="宋体" w:eastAsia="宋体" w:cs="宋体"/>
                <w:b/>
                <w:bCs/>
                <w:color w:val="auto"/>
                <w:kern w:val="0"/>
                <w:sz w:val="24"/>
                <w:szCs w:val="24"/>
                <w:highlight w:val="none"/>
                <w:lang w:val="en-US" w:eastAsia="zh-CN" w:bidi="ar"/>
              </w:rPr>
              <w:t>品目</w:t>
            </w:r>
            <w:r>
              <w:rPr>
                <w:rFonts w:hint="eastAsia" w:ascii="宋体" w:hAnsi="宋体" w:eastAsia="宋体" w:cs="宋体"/>
                <w:b/>
                <w:bCs/>
                <w:color w:val="auto"/>
                <w:kern w:val="0"/>
                <w:sz w:val="24"/>
                <w:szCs w:val="24"/>
                <w:highlight w:val="none"/>
                <w:lang w:bidi="ar"/>
              </w:rPr>
              <w:t>名称</w:t>
            </w:r>
          </w:p>
        </w:tc>
        <w:tc>
          <w:tcPr>
            <w:tcW w:w="677" w:type="pct"/>
            <w:vAlign w:val="center"/>
          </w:tcPr>
          <w:p w14:paraId="26352D54">
            <w:pPr>
              <w:keepNext w:val="0"/>
              <w:keepLines w:val="0"/>
              <w:widowControl/>
              <w:suppressLineNumbers w:val="0"/>
              <w:spacing w:before="0" w:beforeAutospacing="0" w:after="0" w:afterAutospacing="0"/>
              <w:ind w:left="0" w:right="0"/>
              <w:jc w:val="left"/>
              <w:outlineLvl w:val="9"/>
              <w:rPr>
                <w:rFonts w:hint="eastAsia" w:asciiTheme="minorEastAsia" w:hAnsiTheme="minorEastAsia" w:eastAsiaTheme="minorEastAsia"/>
                <w:b/>
                <w:color w:val="auto"/>
                <w:sz w:val="24"/>
                <w:szCs w:val="20"/>
                <w:highlight w:val="none"/>
                <w:lang w:val="en-US" w:eastAsia="zh-CN"/>
              </w:rPr>
            </w:pPr>
            <w:r>
              <w:rPr>
                <w:rFonts w:hint="eastAsia" w:ascii="宋体" w:hAnsi="宋体" w:eastAsia="宋体" w:cs="宋体"/>
                <w:b/>
                <w:bCs/>
                <w:color w:val="auto"/>
                <w:kern w:val="0"/>
                <w:sz w:val="24"/>
                <w:szCs w:val="24"/>
                <w:highlight w:val="none"/>
                <w:lang w:val="en-US" w:eastAsia="zh-CN" w:bidi="ar"/>
              </w:rPr>
              <w:t>品牌、型号</w:t>
            </w:r>
          </w:p>
        </w:tc>
        <w:tc>
          <w:tcPr>
            <w:tcW w:w="707" w:type="pct"/>
            <w:shd w:val="clear" w:color="auto" w:fill="auto"/>
            <w:vAlign w:val="center"/>
          </w:tcPr>
          <w:p w14:paraId="72D3B91F">
            <w:pPr>
              <w:keepNext w:val="0"/>
              <w:keepLines w:val="0"/>
              <w:widowControl/>
              <w:suppressLineNumbers w:val="0"/>
              <w:spacing w:before="0" w:beforeAutospacing="0" w:after="0" w:afterAutospacing="0"/>
              <w:ind w:left="0" w:right="0"/>
              <w:jc w:val="left"/>
              <w:outlineLvl w:val="9"/>
              <w:rPr>
                <w:rFonts w:hint="eastAsia" w:cs="@仿宋_GB2312" w:asciiTheme="minorEastAsia" w:hAnsiTheme="minorEastAsia" w:eastAsiaTheme="minorEastAsia"/>
                <w:b/>
                <w:color w:val="auto"/>
                <w:kern w:val="2"/>
                <w:sz w:val="24"/>
                <w:szCs w:val="20"/>
                <w:highlight w:val="none"/>
                <w:lang w:val="en-US" w:eastAsia="zh-CN" w:bidi="ar-SA"/>
              </w:rPr>
            </w:pPr>
            <w:r>
              <w:rPr>
                <w:rFonts w:hint="eastAsia" w:ascii="宋体" w:hAnsi="宋体" w:eastAsia="宋体" w:cs="宋体"/>
                <w:b/>
                <w:bCs/>
                <w:color w:val="auto"/>
                <w:kern w:val="0"/>
                <w:sz w:val="24"/>
                <w:szCs w:val="24"/>
                <w:highlight w:val="none"/>
                <w:lang w:val="en-US" w:eastAsia="zh-CN" w:bidi="ar"/>
              </w:rPr>
              <w:t>原产地及生产厂商</w:t>
            </w:r>
          </w:p>
        </w:tc>
        <w:tc>
          <w:tcPr>
            <w:tcW w:w="384" w:type="pct"/>
            <w:vAlign w:val="center"/>
          </w:tcPr>
          <w:p w14:paraId="721975CE">
            <w:pPr>
              <w:keepNext w:val="0"/>
              <w:keepLines w:val="0"/>
              <w:widowControl/>
              <w:suppressLineNumbers w:val="0"/>
              <w:spacing w:before="0" w:beforeAutospacing="0" w:after="0" w:afterAutospacing="0"/>
              <w:ind w:left="0" w:right="0"/>
              <w:jc w:val="left"/>
              <w:outlineLvl w:val="9"/>
              <w:rPr>
                <w:rFonts w:hint="eastAsia" w:asciiTheme="minorEastAsia" w:hAnsiTheme="minorEastAsia" w:eastAsiaTheme="minorEastAsia"/>
                <w:b/>
                <w:color w:val="auto"/>
                <w:sz w:val="24"/>
                <w:szCs w:val="20"/>
                <w:highlight w:val="none"/>
              </w:rPr>
            </w:pPr>
            <w:r>
              <w:rPr>
                <w:rFonts w:hint="eastAsia" w:ascii="宋体" w:hAnsi="宋体" w:eastAsia="宋体" w:cs="宋体"/>
                <w:b/>
                <w:bCs/>
                <w:color w:val="auto"/>
                <w:kern w:val="0"/>
                <w:sz w:val="24"/>
                <w:szCs w:val="24"/>
                <w:highlight w:val="none"/>
                <w:lang w:val="en-US" w:eastAsia="zh-CN" w:bidi="ar"/>
              </w:rPr>
              <w:t>单位</w:t>
            </w:r>
          </w:p>
        </w:tc>
        <w:tc>
          <w:tcPr>
            <w:tcW w:w="419" w:type="pct"/>
            <w:vAlign w:val="center"/>
          </w:tcPr>
          <w:p w14:paraId="3D6DDEF0">
            <w:pPr>
              <w:keepNext w:val="0"/>
              <w:keepLines w:val="0"/>
              <w:widowControl/>
              <w:suppressLineNumbers w:val="0"/>
              <w:spacing w:before="0" w:beforeAutospacing="0" w:after="0" w:afterAutospacing="0"/>
              <w:ind w:left="0" w:right="0"/>
              <w:jc w:val="left"/>
              <w:outlineLvl w:val="9"/>
              <w:rPr>
                <w:rFonts w:hint="eastAsia" w:asciiTheme="minorEastAsia" w:hAnsiTheme="minorEastAsia" w:eastAsiaTheme="minorEastAsia"/>
                <w:b/>
                <w:color w:val="auto"/>
                <w:sz w:val="24"/>
                <w:szCs w:val="20"/>
                <w:highlight w:val="none"/>
              </w:rPr>
            </w:pPr>
            <w:r>
              <w:rPr>
                <w:rFonts w:hint="eastAsia" w:ascii="宋体" w:hAnsi="宋体" w:eastAsia="宋体" w:cs="宋体"/>
                <w:b/>
                <w:bCs/>
                <w:color w:val="auto"/>
                <w:kern w:val="0"/>
                <w:sz w:val="24"/>
                <w:szCs w:val="24"/>
                <w:highlight w:val="none"/>
                <w:lang w:val="en-US" w:eastAsia="zh-CN" w:bidi="ar"/>
              </w:rPr>
              <w:t>数量</w:t>
            </w:r>
          </w:p>
        </w:tc>
        <w:tc>
          <w:tcPr>
            <w:tcW w:w="542" w:type="pct"/>
            <w:vAlign w:val="center"/>
          </w:tcPr>
          <w:p w14:paraId="0D32D224">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单价</w:t>
            </w:r>
          </w:p>
        </w:tc>
        <w:tc>
          <w:tcPr>
            <w:tcW w:w="573" w:type="pct"/>
            <w:vAlign w:val="center"/>
          </w:tcPr>
          <w:p w14:paraId="578BEDE7">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小计金额（元）</w:t>
            </w:r>
          </w:p>
        </w:tc>
        <w:tc>
          <w:tcPr>
            <w:tcW w:w="612" w:type="pct"/>
            <w:vAlign w:val="center"/>
          </w:tcPr>
          <w:p w14:paraId="171343D0">
            <w:pPr>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b/>
                <w:color w:val="auto"/>
                <w:sz w:val="24"/>
                <w:szCs w:val="20"/>
                <w:highlight w:val="none"/>
                <w:lang w:val="en-US" w:eastAsia="zh-CN"/>
              </w:rPr>
            </w:pPr>
            <w:r>
              <w:rPr>
                <w:rFonts w:hint="eastAsia" w:asciiTheme="minorEastAsia" w:hAnsiTheme="minorEastAsia" w:eastAsiaTheme="minorEastAsia"/>
                <w:b/>
                <w:color w:val="auto"/>
                <w:sz w:val="24"/>
                <w:szCs w:val="20"/>
                <w:highlight w:val="none"/>
                <w:lang w:val="en-US" w:eastAsia="zh-CN"/>
              </w:rPr>
              <w:t>备注</w:t>
            </w:r>
          </w:p>
        </w:tc>
      </w:tr>
      <w:tr w14:paraId="4B6F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45" w:type="pct"/>
            <w:tcBorders>
              <w:bottom w:val="single" w:color="auto" w:sz="4" w:space="0"/>
            </w:tcBorders>
            <w:vAlign w:val="center"/>
          </w:tcPr>
          <w:p w14:paraId="0ADFF715">
            <w:pPr>
              <w:keepNext w:val="0"/>
              <w:keepLines w:val="0"/>
              <w:numPr>
                <w:ilvl w:val="0"/>
                <w:numId w:val="2"/>
              </w:numPr>
              <w:suppressLineNumbers w:val="0"/>
              <w:spacing w:before="0" w:beforeAutospacing="0" w:after="0" w:afterAutospacing="0"/>
              <w:ind w:left="425" w:leftChars="0" w:right="0" w:hanging="425" w:firstLineChars="0"/>
              <w:jc w:val="center"/>
              <w:outlineLvl w:val="9"/>
              <w:rPr>
                <w:rFonts w:hint="eastAsia" w:ascii="宋体" w:hAnsi="宋体" w:eastAsia="宋体" w:cs="宋体"/>
                <w:color w:val="auto"/>
                <w:sz w:val="24"/>
                <w:szCs w:val="24"/>
                <w:highlight w:val="none"/>
              </w:rPr>
            </w:pPr>
          </w:p>
        </w:tc>
        <w:tc>
          <w:tcPr>
            <w:tcW w:w="635" w:type="pct"/>
            <w:vAlign w:val="center"/>
          </w:tcPr>
          <w:p w14:paraId="2FFE28ED">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sz w:val="24"/>
                <w:szCs w:val="24"/>
                <w:highlight w:val="none"/>
              </w:rPr>
            </w:pPr>
          </w:p>
        </w:tc>
        <w:tc>
          <w:tcPr>
            <w:tcW w:w="677" w:type="pct"/>
            <w:vAlign w:val="center"/>
          </w:tcPr>
          <w:p w14:paraId="4F5F947E">
            <w:pPr>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olor w:val="auto"/>
                <w:sz w:val="24"/>
                <w:szCs w:val="20"/>
                <w:highlight w:val="none"/>
                <w:lang w:val="en-US" w:eastAsia="zh-CN"/>
              </w:rPr>
            </w:pPr>
          </w:p>
        </w:tc>
        <w:tc>
          <w:tcPr>
            <w:tcW w:w="707" w:type="pct"/>
            <w:shd w:val="clear" w:color="auto" w:fill="auto"/>
            <w:vAlign w:val="center"/>
          </w:tcPr>
          <w:p w14:paraId="1771917C">
            <w:pPr>
              <w:keepNext w:val="0"/>
              <w:keepLines w:val="0"/>
              <w:suppressLineNumbers w:val="0"/>
              <w:spacing w:before="0" w:beforeAutospacing="0" w:after="0" w:afterAutospacing="0"/>
              <w:ind w:left="0" w:leftChars="0" w:right="0" w:rightChars="0"/>
              <w:jc w:val="center"/>
              <w:outlineLvl w:val="9"/>
              <w:rPr>
                <w:rFonts w:hint="eastAsia" w:cs="@仿宋_GB2312" w:asciiTheme="minorEastAsia" w:hAnsiTheme="minorEastAsia" w:eastAsiaTheme="minorEastAsia"/>
                <w:color w:val="auto"/>
                <w:kern w:val="2"/>
                <w:sz w:val="24"/>
                <w:szCs w:val="20"/>
                <w:highlight w:val="none"/>
                <w:lang w:val="en-US" w:eastAsia="zh-CN" w:bidi="ar-SA"/>
              </w:rPr>
            </w:pPr>
          </w:p>
        </w:tc>
        <w:tc>
          <w:tcPr>
            <w:tcW w:w="384" w:type="pct"/>
            <w:vAlign w:val="center"/>
          </w:tcPr>
          <w:p w14:paraId="27AF1AC5">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419" w:type="pct"/>
            <w:vAlign w:val="center"/>
          </w:tcPr>
          <w:p w14:paraId="74FFB547">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42" w:type="pct"/>
            <w:vAlign w:val="center"/>
          </w:tcPr>
          <w:p w14:paraId="3BF93D94">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73" w:type="pct"/>
            <w:vAlign w:val="center"/>
          </w:tcPr>
          <w:p w14:paraId="6BB9523A">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612" w:type="pct"/>
            <w:vAlign w:val="center"/>
          </w:tcPr>
          <w:p w14:paraId="40D2A1A8">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r>
      <w:tr w14:paraId="5544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45" w:type="pct"/>
            <w:vAlign w:val="center"/>
          </w:tcPr>
          <w:p w14:paraId="25FCE107">
            <w:pPr>
              <w:keepNext w:val="0"/>
              <w:keepLines w:val="0"/>
              <w:numPr>
                <w:ilvl w:val="0"/>
                <w:numId w:val="2"/>
              </w:numPr>
              <w:suppressLineNumbers w:val="0"/>
              <w:spacing w:before="0" w:beforeAutospacing="0" w:after="0" w:afterAutospacing="0"/>
              <w:ind w:left="425" w:leftChars="0" w:right="0" w:hanging="425" w:firstLineChars="0"/>
              <w:jc w:val="center"/>
              <w:outlineLvl w:val="9"/>
              <w:rPr>
                <w:rFonts w:hint="eastAsia" w:ascii="宋体" w:hAnsi="宋体" w:eastAsia="宋体" w:cs="宋体"/>
                <w:color w:val="auto"/>
                <w:sz w:val="24"/>
                <w:szCs w:val="24"/>
                <w:highlight w:val="none"/>
              </w:rPr>
            </w:pPr>
          </w:p>
        </w:tc>
        <w:tc>
          <w:tcPr>
            <w:tcW w:w="635" w:type="pct"/>
            <w:vAlign w:val="center"/>
          </w:tcPr>
          <w:p w14:paraId="3F6C692D">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sz w:val="24"/>
                <w:szCs w:val="24"/>
                <w:highlight w:val="none"/>
              </w:rPr>
            </w:pPr>
          </w:p>
        </w:tc>
        <w:tc>
          <w:tcPr>
            <w:tcW w:w="677" w:type="pct"/>
            <w:vAlign w:val="center"/>
          </w:tcPr>
          <w:p w14:paraId="7E586E91">
            <w:pPr>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olor w:val="auto"/>
                <w:sz w:val="24"/>
                <w:szCs w:val="20"/>
                <w:highlight w:val="none"/>
                <w:lang w:val="en-US" w:eastAsia="zh-CN"/>
              </w:rPr>
            </w:pPr>
          </w:p>
        </w:tc>
        <w:tc>
          <w:tcPr>
            <w:tcW w:w="707" w:type="pct"/>
            <w:shd w:val="clear" w:color="auto" w:fill="auto"/>
            <w:vAlign w:val="center"/>
          </w:tcPr>
          <w:p w14:paraId="6CD6C227">
            <w:pPr>
              <w:keepNext w:val="0"/>
              <w:keepLines w:val="0"/>
              <w:suppressLineNumbers w:val="0"/>
              <w:spacing w:before="0" w:beforeAutospacing="0" w:after="0" w:afterAutospacing="0"/>
              <w:ind w:left="0" w:leftChars="0" w:right="0" w:rightChars="0"/>
              <w:jc w:val="center"/>
              <w:outlineLvl w:val="9"/>
              <w:rPr>
                <w:rFonts w:hint="eastAsia" w:cs="@仿宋_GB2312" w:asciiTheme="minorEastAsia" w:hAnsiTheme="minorEastAsia" w:eastAsiaTheme="minorEastAsia"/>
                <w:color w:val="auto"/>
                <w:kern w:val="2"/>
                <w:sz w:val="24"/>
                <w:szCs w:val="20"/>
                <w:highlight w:val="none"/>
                <w:lang w:val="en-US" w:eastAsia="zh-CN" w:bidi="ar-SA"/>
              </w:rPr>
            </w:pPr>
          </w:p>
        </w:tc>
        <w:tc>
          <w:tcPr>
            <w:tcW w:w="384" w:type="pct"/>
            <w:vAlign w:val="center"/>
          </w:tcPr>
          <w:p w14:paraId="0960DAF2">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419" w:type="pct"/>
            <w:vAlign w:val="center"/>
          </w:tcPr>
          <w:p w14:paraId="194067A6">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42" w:type="pct"/>
            <w:vAlign w:val="center"/>
          </w:tcPr>
          <w:p w14:paraId="4307B31C">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73" w:type="pct"/>
            <w:vAlign w:val="center"/>
          </w:tcPr>
          <w:p w14:paraId="727053E2">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612" w:type="pct"/>
            <w:vAlign w:val="center"/>
          </w:tcPr>
          <w:p w14:paraId="66F8D0EF">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r>
      <w:tr w14:paraId="1F42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45" w:type="pct"/>
            <w:vAlign w:val="center"/>
          </w:tcPr>
          <w:p w14:paraId="6C9EAA29">
            <w:pPr>
              <w:keepNext w:val="0"/>
              <w:keepLines w:val="0"/>
              <w:numPr>
                <w:ilvl w:val="0"/>
                <w:numId w:val="2"/>
              </w:numPr>
              <w:suppressLineNumbers w:val="0"/>
              <w:spacing w:before="0" w:beforeAutospacing="0" w:after="0" w:afterAutospacing="0"/>
              <w:ind w:left="425" w:leftChars="0" w:right="0" w:hanging="425" w:firstLineChars="0"/>
              <w:jc w:val="center"/>
              <w:outlineLvl w:val="9"/>
              <w:rPr>
                <w:rFonts w:hint="eastAsia" w:ascii="宋体" w:hAnsi="宋体" w:eastAsia="宋体" w:cs="宋体"/>
                <w:color w:val="auto"/>
                <w:sz w:val="24"/>
                <w:szCs w:val="24"/>
                <w:highlight w:val="none"/>
              </w:rPr>
            </w:pPr>
          </w:p>
        </w:tc>
        <w:tc>
          <w:tcPr>
            <w:tcW w:w="635" w:type="pct"/>
            <w:vAlign w:val="center"/>
          </w:tcPr>
          <w:p w14:paraId="2D5F4C12">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sz w:val="24"/>
                <w:szCs w:val="24"/>
                <w:highlight w:val="none"/>
              </w:rPr>
            </w:pPr>
          </w:p>
        </w:tc>
        <w:tc>
          <w:tcPr>
            <w:tcW w:w="677" w:type="pct"/>
            <w:vAlign w:val="center"/>
          </w:tcPr>
          <w:p w14:paraId="0EE67A43">
            <w:pPr>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olor w:val="auto"/>
                <w:sz w:val="24"/>
                <w:szCs w:val="20"/>
                <w:highlight w:val="none"/>
                <w:lang w:val="en-US" w:eastAsia="zh-CN"/>
              </w:rPr>
            </w:pPr>
          </w:p>
        </w:tc>
        <w:tc>
          <w:tcPr>
            <w:tcW w:w="707" w:type="pct"/>
            <w:shd w:val="clear" w:color="auto" w:fill="auto"/>
            <w:vAlign w:val="center"/>
          </w:tcPr>
          <w:p w14:paraId="02A6A666">
            <w:pPr>
              <w:keepNext w:val="0"/>
              <w:keepLines w:val="0"/>
              <w:suppressLineNumbers w:val="0"/>
              <w:spacing w:before="0" w:beforeAutospacing="0" w:after="0" w:afterAutospacing="0"/>
              <w:ind w:left="0" w:leftChars="0" w:right="0" w:rightChars="0"/>
              <w:jc w:val="center"/>
              <w:outlineLvl w:val="9"/>
              <w:rPr>
                <w:rFonts w:hint="eastAsia" w:cs="@仿宋_GB2312" w:asciiTheme="minorEastAsia" w:hAnsiTheme="minorEastAsia" w:eastAsiaTheme="minorEastAsia"/>
                <w:color w:val="auto"/>
                <w:kern w:val="2"/>
                <w:sz w:val="24"/>
                <w:szCs w:val="20"/>
                <w:highlight w:val="none"/>
                <w:lang w:val="en-US" w:eastAsia="zh-CN" w:bidi="ar-SA"/>
              </w:rPr>
            </w:pPr>
          </w:p>
        </w:tc>
        <w:tc>
          <w:tcPr>
            <w:tcW w:w="384" w:type="pct"/>
            <w:vAlign w:val="center"/>
          </w:tcPr>
          <w:p w14:paraId="704BC399">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419" w:type="pct"/>
            <w:vAlign w:val="center"/>
          </w:tcPr>
          <w:p w14:paraId="4ED5B51E">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42" w:type="pct"/>
            <w:vAlign w:val="center"/>
          </w:tcPr>
          <w:p w14:paraId="056CBD42">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73" w:type="pct"/>
            <w:vAlign w:val="center"/>
          </w:tcPr>
          <w:p w14:paraId="5D082CBC">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612" w:type="pct"/>
            <w:vAlign w:val="center"/>
          </w:tcPr>
          <w:p w14:paraId="5824D900">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r>
      <w:tr w14:paraId="760D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45" w:type="pct"/>
            <w:vAlign w:val="center"/>
          </w:tcPr>
          <w:p w14:paraId="2FEAEA74">
            <w:pPr>
              <w:keepNext w:val="0"/>
              <w:keepLines w:val="0"/>
              <w:numPr>
                <w:ilvl w:val="0"/>
                <w:numId w:val="2"/>
              </w:numPr>
              <w:suppressLineNumbers w:val="0"/>
              <w:spacing w:before="0" w:beforeAutospacing="0" w:after="0" w:afterAutospacing="0"/>
              <w:ind w:left="425" w:leftChars="0" w:right="0" w:hanging="425" w:firstLineChars="0"/>
              <w:jc w:val="center"/>
              <w:outlineLvl w:val="9"/>
              <w:rPr>
                <w:rFonts w:hint="eastAsia" w:ascii="宋体" w:hAnsi="宋体" w:eastAsia="宋体" w:cs="宋体"/>
                <w:color w:val="auto"/>
                <w:sz w:val="24"/>
                <w:szCs w:val="24"/>
                <w:highlight w:val="none"/>
              </w:rPr>
            </w:pPr>
          </w:p>
        </w:tc>
        <w:tc>
          <w:tcPr>
            <w:tcW w:w="635" w:type="pct"/>
            <w:vAlign w:val="center"/>
          </w:tcPr>
          <w:p w14:paraId="2444E59E">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sz w:val="24"/>
                <w:szCs w:val="24"/>
                <w:highlight w:val="none"/>
              </w:rPr>
            </w:pPr>
          </w:p>
        </w:tc>
        <w:tc>
          <w:tcPr>
            <w:tcW w:w="677" w:type="pct"/>
            <w:vAlign w:val="center"/>
          </w:tcPr>
          <w:p w14:paraId="3261A0F7">
            <w:pPr>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olor w:val="auto"/>
                <w:sz w:val="24"/>
                <w:szCs w:val="20"/>
                <w:highlight w:val="none"/>
                <w:lang w:val="en-US" w:eastAsia="zh-CN"/>
              </w:rPr>
            </w:pPr>
          </w:p>
        </w:tc>
        <w:tc>
          <w:tcPr>
            <w:tcW w:w="707" w:type="pct"/>
            <w:shd w:val="clear" w:color="auto" w:fill="auto"/>
            <w:vAlign w:val="center"/>
          </w:tcPr>
          <w:p w14:paraId="18939B8A">
            <w:pPr>
              <w:keepNext w:val="0"/>
              <w:keepLines w:val="0"/>
              <w:suppressLineNumbers w:val="0"/>
              <w:spacing w:before="0" w:beforeAutospacing="0" w:after="0" w:afterAutospacing="0"/>
              <w:ind w:left="0" w:leftChars="0" w:right="0" w:rightChars="0"/>
              <w:jc w:val="center"/>
              <w:outlineLvl w:val="9"/>
              <w:rPr>
                <w:rFonts w:hint="eastAsia" w:cs="@仿宋_GB2312" w:asciiTheme="minorEastAsia" w:hAnsiTheme="minorEastAsia" w:eastAsiaTheme="minorEastAsia"/>
                <w:color w:val="auto"/>
                <w:kern w:val="2"/>
                <w:sz w:val="24"/>
                <w:szCs w:val="20"/>
                <w:highlight w:val="none"/>
                <w:lang w:val="en-US" w:eastAsia="zh-CN" w:bidi="ar-SA"/>
              </w:rPr>
            </w:pPr>
          </w:p>
        </w:tc>
        <w:tc>
          <w:tcPr>
            <w:tcW w:w="384" w:type="pct"/>
            <w:vAlign w:val="center"/>
          </w:tcPr>
          <w:p w14:paraId="77066195">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419" w:type="pct"/>
            <w:vAlign w:val="center"/>
          </w:tcPr>
          <w:p w14:paraId="3D7ECBD1">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42" w:type="pct"/>
            <w:vAlign w:val="center"/>
          </w:tcPr>
          <w:p w14:paraId="6CF030EF">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73" w:type="pct"/>
            <w:vAlign w:val="center"/>
          </w:tcPr>
          <w:p w14:paraId="3C5166E6">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612" w:type="pct"/>
            <w:vAlign w:val="center"/>
          </w:tcPr>
          <w:p w14:paraId="2FEF5B6B">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r>
      <w:tr w14:paraId="4FE9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45" w:type="pct"/>
            <w:vAlign w:val="center"/>
          </w:tcPr>
          <w:p w14:paraId="63D5FE48">
            <w:pPr>
              <w:pStyle w:val="8"/>
              <w:keepNext w:val="0"/>
              <w:keepLines w:val="0"/>
              <w:numPr>
                <w:ilvl w:val="0"/>
                <w:numId w:val="2"/>
              </w:numPr>
              <w:suppressLineNumbers w:val="0"/>
              <w:spacing w:before="0" w:beforeAutospacing="0" w:afterAutospacing="0"/>
              <w:ind w:left="425" w:leftChars="0" w:right="0" w:hanging="425" w:firstLineChars="0"/>
              <w:jc w:val="center"/>
              <w:outlineLvl w:val="9"/>
              <w:rPr>
                <w:rFonts w:hint="eastAsia" w:ascii="宋体" w:hAnsi="宋体" w:eastAsia="宋体" w:cs="宋体"/>
                <w:color w:val="auto"/>
                <w:sz w:val="24"/>
                <w:szCs w:val="24"/>
                <w:highlight w:val="none"/>
              </w:rPr>
            </w:pPr>
          </w:p>
        </w:tc>
        <w:tc>
          <w:tcPr>
            <w:tcW w:w="635" w:type="pct"/>
            <w:vAlign w:val="center"/>
          </w:tcPr>
          <w:p w14:paraId="13308CC1">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sz w:val="24"/>
                <w:szCs w:val="24"/>
                <w:highlight w:val="none"/>
              </w:rPr>
            </w:pPr>
          </w:p>
        </w:tc>
        <w:tc>
          <w:tcPr>
            <w:tcW w:w="677" w:type="pct"/>
            <w:vAlign w:val="center"/>
          </w:tcPr>
          <w:p w14:paraId="6714C066">
            <w:pPr>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olor w:val="auto"/>
                <w:sz w:val="24"/>
                <w:szCs w:val="20"/>
                <w:highlight w:val="none"/>
                <w:lang w:val="en-US" w:eastAsia="zh-CN"/>
              </w:rPr>
            </w:pPr>
          </w:p>
        </w:tc>
        <w:tc>
          <w:tcPr>
            <w:tcW w:w="707" w:type="pct"/>
            <w:shd w:val="clear" w:color="auto" w:fill="auto"/>
            <w:vAlign w:val="center"/>
          </w:tcPr>
          <w:p w14:paraId="29DF1C41">
            <w:pPr>
              <w:keepNext w:val="0"/>
              <w:keepLines w:val="0"/>
              <w:suppressLineNumbers w:val="0"/>
              <w:spacing w:before="0" w:beforeAutospacing="0" w:after="0" w:afterAutospacing="0"/>
              <w:ind w:left="0" w:leftChars="0" w:right="0" w:rightChars="0"/>
              <w:jc w:val="center"/>
              <w:outlineLvl w:val="9"/>
              <w:rPr>
                <w:rFonts w:hint="eastAsia" w:cs="@仿宋_GB2312" w:asciiTheme="minorEastAsia" w:hAnsiTheme="minorEastAsia" w:eastAsiaTheme="minorEastAsia"/>
                <w:color w:val="auto"/>
                <w:kern w:val="2"/>
                <w:sz w:val="24"/>
                <w:szCs w:val="20"/>
                <w:highlight w:val="none"/>
                <w:lang w:val="en-US" w:eastAsia="zh-CN" w:bidi="ar-SA"/>
              </w:rPr>
            </w:pPr>
          </w:p>
        </w:tc>
        <w:tc>
          <w:tcPr>
            <w:tcW w:w="384" w:type="pct"/>
            <w:vAlign w:val="center"/>
          </w:tcPr>
          <w:p w14:paraId="52163379">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419" w:type="pct"/>
            <w:vAlign w:val="center"/>
          </w:tcPr>
          <w:p w14:paraId="324BAC0E">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42" w:type="pct"/>
            <w:vAlign w:val="center"/>
          </w:tcPr>
          <w:p w14:paraId="32947673">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73" w:type="pct"/>
            <w:vAlign w:val="center"/>
          </w:tcPr>
          <w:p w14:paraId="69A94BC3">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612" w:type="pct"/>
            <w:vAlign w:val="center"/>
          </w:tcPr>
          <w:p w14:paraId="0D27D1A8">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r>
      <w:tr w14:paraId="3F97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45" w:type="pct"/>
            <w:vAlign w:val="center"/>
          </w:tcPr>
          <w:p w14:paraId="7BE226AD">
            <w:pPr>
              <w:pStyle w:val="8"/>
              <w:keepNext w:val="0"/>
              <w:keepLines w:val="0"/>
              <w:numPr>
                <w:ilvl w:val="0"/>
                <w:numId w:val="2"/>
              </w:numPr>
              <w:suppressLineNumbers w:val="0"/>
              <w:spacing w:before="0" w:beforeAutospacing="0" w:afterAutospacing="0"/>
              <w:ind w:left="425" w:leftChars="0" w:right="0" w:hanging="425" w:firstLineChars="0"/>
              <w:jc w:val="center"/>
              <w:outlineLvl w:val="9"/>
              <w:rPr>
                <w:rFonts w:hint="eastAsia" w:ascii="宋体" w:hAnsi="宋体" w:eastAsia="宋体" w:cs="宋体"/>
                <w:color w:val="auto"/>
                <w:sz w:val="24"/>
                <w:szCs w:val="24"/>
                <w:highlight w:val="none"/>
              </w:rPr>
            </w:pPr>
          </w:p>
        </w:tc>
        <w:tc>
          <w:tcPr>
            <w:tcW w:w="635" w:type="pct"/>
            <w:vAlign w:val="center"/>
          </w:tcPr>
          <w:p w14:paraId="1422EE92">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sz w:val="24"/>
                <w:szCs w:val="24"/>
                <w:highlight w:val="none"/>
              </w:rPr>
            </w:pPr>
          </w:p>
        </w:tc>
        <w:tc>
          <w:tcPr>
            <w:tcW w:w="677" w:type="pct"/>
            <w:vAlign w:val="center"/>
          </w:tcPr>
          <w:p w14:paraId="3321A8CA">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lang w:val="en-US" w:eastAsia="zh-CN"/>
              </w:rPr>
            </w:pPr>
          </w:p>
        </w:tc>
        <w:tc>
          <w:tcPr>
            <w:tcW w:w="707" w:type="pct"/>
            <w:shd w:val="clear" w:color="auto" w:fill="auto"/>
            <w:vAlign w:val="center"/>
          </w:tcPr>
          <w:p w14:paraId="14E90E56">
            <w:pPr>
              <w:keepNext w:val="0"/>
              <w:keepLines w:val="0"/>
              <w:suppressLineNumbers w:val="0"/>
              <w:spacing w:before="0" w:beforeAutospacing="0" w:after="0" w:afterAutospacing="0"/>
              <w:ind w:left="0" w:leftChars="0" w:right="0" w:rightChars="0"/>
              <w:jc w:val="center"/>
              <w:outlineLvl w:val="9"/>
              <w:rPr>
                <w:rFonts w:hint="eastAsia" w:cs="@仿宋_GB2312" w:asciiTheme="minorEastAsia" w:hAnsiTheme="minorEastAsia" w:eastAsiaTheme="minorEastAsia"/>
                <w:color w:val="auto"/>
                <w:kern w:val="2"/>
                <w:sz w:val="24"/>
                <w:szCs w:val="20"/>
                <w:highlight w:val="none"/>
                <w:lang w:val="en-US" w:eastAsia="zh-CN" w:bidi="ar-SA"/>
              </w:rPr>
            </w:pPr>
          </w:p>
        </w:tc>
        <w:tc>
          <w:tcPr>
            <w:tcW w:w="384" w:type="pct"/>
            <w:vAlign w:val="center"/>
          </w:tcPr>
          <w:p w14:paraId="2956A456">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419" w:type="pct"/>
            <w:vAlign w:val="center"/>
          </w:tcPr>
          <w:p w14:paraId="12E97FF1">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42" w:type="pct"/>
            <w:vAlign w:val="center"/>
          </w:tcPr>
          <w:p w14:paraId="6F487341">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73" w:type="pct"/>
            <w:vAlign w:val="center"/>
          </w:tcPr>
          <w:p w14:paraId="6B2D2699">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612" w:type="pct"/>
            <w:vAlign w:val="center"/>
          </w:tcPr>
          <w:p w14:paraId="79982937">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r>
      <w:tr w14:paraId="79BA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45" w:type="pct"/>
            <w:vAlign w:val="center"/>
          </w:tcPr>
          <w:p w14:paraId="47C10D5F">
            <w:pPr>
              <w:keepNext w:val="0"/>
              <w:keepLines w:val="0"/>
              <w:numPr>
                <w:ilvl w:val="0"/>
                <w:numId w:val="2"/>
              </w:numPr>
              <w:suppressLineNumbers w:val="0"/>
              <w:spacing w:before="0" w:beforeAutospacing="0" w:after="0" w:afterAutospacing="0"/>
              <w:ind w:left="425" w:leftChars="0" w:right="0" w:hanging="425" w:firstLineChars="0"/>
              <w:jc w:val="center"/>
              <w:outlineLvl w:val="9"/>
              <w:rPr>
                <w:rFonts w:hint="eastAsia" w:ascii="宋体" w:hAnsi="宋体" w:eastAsia="宋体" w:cs="宋体"/>
                <w:color w:val="auto"/>
                <w:sz w:val="24"/>
                <w:szCs w:val="24"/>
                <w:highlight w:val="none"/>
              </w:rPr>
            </w:pPr>
          </w:p>
        </w:tc>
        <w:tc>
          <w:tcPr>
            <w:tcW w:w="635" w:type="pct"/>
            <w:vAlign w:val="center"/>
          </w:tcPr>
          <w:p w14:paraId="0428A889">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sz w:val="24"/>
                <w:szCs w:val="24"/>
                <w:highlight w:val="none"/>
              </w:rPr>
            </w:pPr>
          </w:p>
        </w:tc>
        <w:tc>
          <w:tcPr>
            <w:tcW w:w="677" w:type="pct"/>
            <w:vAlign w:val="center"/>
          </w:tcPr>
          <w:p w14:paraId="33AF2351">
            <w:pPr>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olor w:val="auto"/>
                <w:sz w:val="24"/>
                <w:szCs w:val="20"/>
                <w:highlight w:val="none"/>
                <w:lang w:val="en-US" w:eastAsia="zh-CN"/>
              </w:rPr>
            </w:pPr>
          </w:p>
        </w:tc>
        <w:tc>
          <w:tcPr>
            <w:tcW w:w="707" w:type="pct"/>
            <w:shd w:val="clear" w:color="auto" w:fill="auto"/>
            <w:vAlign w:val="center"/>
          </w:tcPr>
          <w:p w14:paraId="728F5B6A">
            <w:pPr>
              <w:keepNext w:val="0"/>
              <w:keepLines w:val="0"/>
              <w:suppressLineNumbers w:val="0"/>
              <w:spacing w:before="0" w:beforeAutospacing="0" w:after="0" w:afterAutospacing="0"/>
              <w:ind w:left="0" w:leftChars="0" w:right="0" w:rightChars="0"/>
              <w:jc w:val="center"/>
              <w:outlineLvl w:val="9"/>
              <w:rPr>
                <w:rFonts w:hint="eastAsia" w:cs="@仿宋_GB2312" w:asciiTheme="minorEastAsia" w:hAnsiTheme="minorEastAsia" w:eastAsiaTheme="minorEastAsia"/>
                <w:color w:val="auto"/>
                <w:kern w:val="2"/>
                <w:sz w:val="24"/>
                <w:szCs w:val="20"/>
                <w:highlight w:val="none"/>
                <w:lang w:val="en-US" w:eastAsia="zh-CN" w:bidi="ar-SA"/>
              </w:rPr>
            </w:pPr>
          </w:p>
        </w:tc>
        <w:tc>
          <w:tcPr>
            <w:tcW w:w="384" w:type="pct"/>
            <w:vAlign w:val="center"/>
          </w:tcPr>
          <w:p w14:paraId="29B6493A">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419" w:type="pct"/>
            <w:vAlign w:val="center"/>
          </w:tcPr>
          <w:p w14:paraId="36CE90FF">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42" w:type="pct"/>
            <w:vAlign w:val="center"/>
          </w:tcPr>
          <w:p w14:paraId="1FA5C3E4">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73" w:type="pct"/>
            <w:vAlign w:val="center"/>
          </w:tcPr>
          <w:p w14:paraId="36CD5BF7">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612" w:type="pct"/>
            <w:vAlign w:val="center"/>
          </w:tcPr>
          <w:p w14:paraId="231EC69F">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r>
      <w:tr w14:paraId="0805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45" w:type="pct"/>
            <w:vAlign w:val="center"/>
          </w:tcPr>
          <w:p w14:paraId="6E69A7E3">
            <w:pPr>
              <w:keepNext w:val="0"/>
              <w:keepLines w:val="0"/>
              <w:numPr>
                <w:ilvl w:val="0"/>
                <w:numId w:val="2"/>
              </w:numPr>
              <w:suppressLineNumbers w:val="0"/>
              <w:spacing w:before="0" w:beforeAutospacing="0" w:after="0" w:afterAutospacing="0"/>
              <w:ind w:left="425" w:leftChars="0" w:right="0" w:hanging="425" w:firstLineChars="0"/>
              <w:jc w:val="center"/>
              <w:outlineLvl w:val="9"/>
              <w:rPr>
                <w:rFonts w:hint="eastAsia" w:ascii="宋体" w:hAnsi="宋体" w:eastAsia="宋体" w:cs="宋体"/>
                <w:color w:val="auto"/>
                <w:sz w:val="24"/>
                <w:szCs w:val="24"/>
                <w:highlight w:val="none"/>
              </w:rPr>
            </w:pPr>
          </w:p>
        </w:tc>
        <w:tc>
          <w:tcPr>
            <w:tcW w:w="635" w:type="pct"/>
            <w:vAlign w:val="center"/>
          </w:tcPr>
          <w:p w14:paraId="4F39FED1">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sz w:val="24"/>
                <w:szCs w:val="24"/>
                <w:highlight w:val="none"/>
              </w:rPr>
            </w:pPr>
          </w:p>
        </w:tc>
        <w:tc>
          <w:tcPr>
            <w:tcW w:w="677" w:type="pct"/>
            <w:vAlign w:val="center"/>
          </w:tcPr>
          <w:p w14:paraId="331EE893">
            <w:pPr>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olor w:val="auto"/>
                <w:sz w:val="24"/>
                <w:szCs w:val="20"/>
                <w:highlight w:val="none"/>
                <w:lang w:val="en-US" w:eastAsia="zh-CN"/>
              </w:rPr>
            </w:pPr>
          </w:p>
        </w:tc>
        <w:tc>
          <w:tcPr>
            <w:tcW w:w="707" w:type="pct"/>
            <w:shd w:val="clear" w:color="auto" w:fill="auto"/>
            <w:vAlign w:val="center"/>
          </w:tcPr>
          <w:p w14:paraId="1D81C810">
            <w:pPr>
              <w:keepNext w:val="0"/>
              <w:keepLines w:val="0"/>
              <w:suppressLineNumbers w:val="0"/>
              <w:spacing w:before="0" w:beforeAutospacing="0" w:after="0" w:afterAutospacing="0"/>
              <w:ind w:left="0" w:leftChars="0" w:right="0" w:rightChars="0"/>
              <w:jc w:val="center"/>
              <w:outlineLvl w:val="9"/>
              <w:rPr>
                <w:rFonts w:hint="eastAsia" w:cs="@仿宋_GB2312" w:asciiTheme="minorEastAsia" w:hAnsiTheme="minorEastAsia" w:eastAsiaTheme="minorEastAsia"/>
                <w:color w:val="auto"/>
                <w:kern w:val="2"/>
                <w:sz w:val="24"/>
                <w:szCs w:val="20"/>
                <w:highlight w:val="none"/>
                <w:lang w:val="en-US" w:eastAsia="zh-CN" w:bidi="ar-SA"/>
              </w:rPr>
            </w:pPr>
          </w:p>
        </w:tc>
        <w:tc>
          <w:tcPr>
            <w:tcW w:w="384" w:type="pct"/>
            <w:vAlign w:val="center"/>
          </w:tcPr>
          <w:p w14:paraId="6B9DFCAA">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419" w:type="pct"/>
            <w:vAlign w:val="center"/>
          </w:tcPr>
          <w:p w14:paraId="100DB8C5">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42" w:type="pct"/>
            <w:vAlign w:val="center"/>
          </w:tcPr>
          <w:p w14:paraId="78DF1194">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73" w:type="pct"/>
            <w:vAlign w:val="center"/>
          </w:tcPr>
          <w:p w14:paraId="0C5C60DC">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612" w:type="pct"/>
            <w:vAlign w:val="center"/>
          </w:tcPr>
          <w:p w14:paraId="539CAFE9">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lang w:val="en-US" w:eastAsia="zh-CN"/>
              </w:rPr>
            </w:pPr>
          </w:p>
        </w:tc>
      </w:tr>
      <w:tr w14:paraId="2791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081" w:type="pct"/>
            <w:gridSpan w:val="2"/>
            <w:vAlign w:val="center"/>
          </w:tcPr>
          <w:p w14:paraId="34CC2E8B">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kern w:val="0"/>
                <w:sz w:val="24"/>
                <w:szCs w:val="24"/>
                <w:highlight w:val="none"/>
                <w:lang w:bidi="ar"/>
              </w:rPr>
            </w:pPr>
            <w:r>
              <w:rPr>
                <w:rFonts w:hint="eastAsia" w:asciiTheme="minorEastAsia" w:hAnsiTheme="minorEastAsia" w:eastAsiaTheme="minorEastAsia"/>
                <w:b/>
                <w:color w:val="auto"/>
                <w:sz w:val="24"/>
                <w:szCs w:val="20"/>
                <w:highlight w:val="none"/>
              </w:rPr>
              <w:t>合计金额（元）</w:t>
            </w:r>
          </w:p>
        </w:tc>
        <w:tc>
          <w:tcPr>
            <w:tcW w:w="3918" w:type="pct"/>
            <w:gridSpan w:val="7"/>
            <w:vAlign w:val="center"/>
          </w:tcPr>
          <w:p w14:paraId="74901F68">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r>
    </w:tbl>
    <w:p w14:paraId="41C15442">
      <w:pPr>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4581D51">
      <w:pPr>
        <w:tabs>
          <w:tab w:val="left" w:pos="630"/>
        </w:tabs>
        <w:spacing w:line="360" w:lineRule="auto"/>
        <w:ind w:firstLine="4800" w:firstLineChars="2000"/>
        <w:outlineLvl w:val="9"/>
        <w:rPr>
          <w:rFonts w:asciiTheme="minorEastAsia" w:hAnsiTheme="minorEastAsia" w:eastAsiaTheme="minorEastAsia"/>
          <w:color w:val="auto"/>
          <w:sz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072217F">
      <w:pPr>
        <w:adjustRightInd w:val="0"/>
        <w:snapToGrid w:val="0"/>
        <w:spacing w:line="360" w:lineRule="auto"/>
        <w:outlineLvl w:val="9"/>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4A82A28B">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所列服务为对应本项目需求的全部服务内容。如有漏项或缺项，投标人承担全部责任。</w:t>
      </w:r>
    </w:p>
    <w:p w14:paraId="570E418D">
      <w:pPr>
        <w:pStyle w:val="8"/>
        <w:outlineLvl w:val="9"/>
        <w:rPr>
          <w:rFonts w:hint="eastAsia" w:asciiTheme="minorEastAsia" w:hAnsiTheme="minorEastAsia" w:eastAsiaTheme="minorEastAsia"/>
          <w:color w:val="auto"/>
          <w:sz w:val="24"/>
          <w:highlight w:val="none"/>
        </w:rPr>
      </w:pPr>
    </w:p>
    <w:p w14:paraId="6FC173B7">
      <w:pPr>
        <w:outlineLvl w:val="9"/>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3E84228E">
      <w:pPr>
        <w:spacing w:line="360" w:lineRule="auto"/>
        <w:jc w:val="center"/>
        <w:outlineLvl w:val="0"/>
        <w:rPr>
          <w:rFonts w:ascii="宋体" w:hAnsi="宋体" w:eastAsia="宋体"/>
          <w:b/>
          <w:bCs/>
          <w:color w:val="auto"/>
          <w:sz w:val="28"/>
          <w:highlight w:val="none"/>
        </w:rPr>
      </w:pPr>
      <w:bookmarkStart w:id="28" w:name="_Toc28085"/>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章</w:t>
      </w:r>
      <w:r>
        <w:rPr>
          <w:rFonts w:hint="eastAsia" w:ascii="宋体" w:hAnsi="宋体" w:eastAsia="宋体"/>
          <w:b/>
          <w:bCs/>
          <w:color w:val="auto"/>
          <w:sz w:val="28"/>
          <w:highlight w:val="none"/>
        </w:rPr>
        <w:t xml:space="preserve"> 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8"/>
    </w:p>
    <w:p w14:paraId="7F8169ED">
      <w:pPr>
        <w:spacing w:line="360" w:lineRule="auto"/>
        <w:jc w:val="center"/>
        <w:outlineLvl w:val="9"/>
        <w:rPr>
          <w:rFonts w:ascii="仿宋" w:hAnsi="仿宋" w:eastAsia="仿宋" w:cs="仿宋"/>
          <w:b/>
          <w:bCs/>
          <w:color w:val="auto"/>
          <w:sz w:val="32"/>
          <w:szCs w:val="44"/>
          <w:highlight w:val="none"/>
        </w:rPr>
      </w:pPr>
      <w:bookmarkStart w:id="29" w:name="_Toc27159"/>
      <w:bookmarkStart w:id="30" w:name="_Toc27489"/>
      <w:r>
        <w:rPr>
          <w:rFonts w:hint="eastAsia" w:ascii="仿宋" w:hAnsi="仿宋" w:eastAsia="仿宋" w:cs="仿宋"/>
          <w:b/>
          <w:bCs/>
          <w:color w:val="auto"/>
          <w:sz w:val="32"/>
          <w:szCs w:val="44"/>
          <w:highlight w:val="none"/>
        </w:rPr>
        <w:t>询问函范本</w:t>
      </w:r>
      <w:bookmarkEnd w:id="29"/>
      <w:bookmarkEnd w:id="30"/>
    </w:p>
    <w:p w14:paraId="58655B41">
      <w:pPr>
        <w:adjustRightInd w:val="0"/>
        <w:snapToGrid w:val="0"/>
        <w:spacing w:line="360" w:lineRule="auto"/>
        <w:outlineLvl w:val="9"/>
        <w:rPr>
          <w:rFonts w:hint="eastAsia" w:cs="仿宋" w:asciiTheme="minorEastAsia" w:hAnsiTheme="minorEastAsia" w:eastAsiaTheme="minorEastAsia"/>
          <w:b/>
          <w:bCs/>
          <w:color w:val="auto"/>
          <w:sz w:val="24"/>
          <w:szCs w:val="24"/>
          <w:highlight w:val="none"/>
          <w:u w:val="singl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5B941AA9">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171FAF52">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31" w:name="_Toc13899"/>
      <w:r>
        <w:rPr>
          <w:rFonts w:hint="eastAsia" w:cs="仿宋" w:asciiTheme="minorEastAsia" w:hAnsiTheme="minorEastAsia" w:eastAsiaTheme="minorEastAsia"/>
          <w:color w:val="auto"/>
          <w:sz w:val="24"/>
          <w:szCs w:val="24"/>
          <w:highlight w:val="none"/>
        </w:rPr>
        <w:t>一、(事项一)</w:t>
      </w:r>
      <w:bookmarkEnd w:id="31"/>
    </w:p>
    <w:p w14:paraId="5B452DCD">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E4D1044">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0476AE74">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5DC05DBE">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32" w:name="_Toc3352"/>
      <w:r>
        <w:rPr>
          <w:rFonts w:hint="eastAsia" w:cs="仿宋" w:asciiTheme="minorEastAsia" w:hAnsiTheme="minorEastAsia" w:eastAsiaTheme="minorEastAsia"/>
          <w:color w:val="auto"/>
          <w:sz w:val="24"/>
          <w:szCs w:val="24"/>
          <w:highlight w:val="none"/>
        </w:rPr>
        <w:t>二、(事项二)</w:t>
      </w:r>
      <w:bookmarkEnd w:id="32"/>
    </w:p>
    <w:p w14:paraId="30F0191A">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147D068">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110F0D34">
      <w:pPr>
        <w:spacing w:line="360" w:lineRule="auto"/>
        <w:ind w:firstLine="4228" w:firstLineChars="1762"/>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75A769B">
      <w:pPr>
        <w:spacing w:line="360" w:lineRule="auto"/>
        <w:ind w:firstLine="4228" w:firstLineChars="1762"/>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0948820F">
      <w:pPr>
        <w:tabs>
          <w:tab w:val="left" w:pos="630"/>
        </w:tabs>
        <w:spacing w:line="360" w:lineRule="auto"/>
        <w:ind w:firstLine="4228" w:firstLineChars="1762"/>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7213478D">
      <w:pPr>
        <w:outlineLvl w:val="9"/>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3D1F8CE9">
      <w:pPr>
        <w:jc w:val="center"/>
        <w:outlineLvl w:val="9"/>
        <w:rPr>
          <w:rFonts w:ascii="仿宋" w:hAnsi="仿宋" w:eastAsia="仿宋" w:cs="仿宋"/>
          <w:b/>
          <w:bCs/>
          <w:color w:val="auto"/>
          <w:sz w:val="32"/>
          <w:szCs w:val="44"/>
          <w:highlight w:val="none"/>
        </w:rPr>
      </w:pPr>
      <w:bookmarkStart w:id="33" w:name="_Toc1575"/>
      <w:bookmarkStart w:id="34" w:name="_Toc3245"/>
      <w:r>
        <w:rPr>
          <w:rFonts w:hint="eastAsia" w:ascii="仿宋" w:hAnsi="仿宋" w:eastAsia="仿宋" w:cs="仿宋"/>
          <w:b/>
          <w:bCs/>
          <w:color w:val="auto"/>
          <w:sz w:val="32"/>
          <w:szCs w:val="44"/>
          <w:highlight w:val="none"/>
        </w:rPr>
        <w:t>质疑函范本</w:t>
      </w:r>
      <w:bookmarkEnd w:id="33"/>
      <w:bookmarkEnd w:id="34"/>
    </w:p>
    <w:p w14:paraId="1EE353E0">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35" w:name="_Toc21381"/>
      <w:r>
        <w:rPr>
          <w:rFonts w:hint="eastAsia" w:cs="仿宋" w:asciiTheme="minorEastAsia" w:hAnsiTheme="minorEastAsia" w:eastAsiaTheme="minorEastAsia"/>
          <w:b/>
          <w:bCs/>
          <w:color w:val="auto"/>
          <w:sz w:val="24"/>
          <w:szCs w:val="24"/>
          <w:highlight w:val="none"/>
        </w:rPr>
        <w:t>一、质疑供应商基本信息</w:t>
      </w:r>
      <w:bookmarkEnd w:id="35"/>
    </w:p>
    <w:p w14:paraId="4B865F04">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0F6EC301">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182536FB">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3695F085">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5FCA1CAD">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5B49B30F">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E78AE2A">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36" w:name="_Toc28415"/>
      <w:r>
        <w:rPr>
          <w:rFonts w:hint="eastAsia" w:cs="仿宋" w:asciiTheme="minorEastAsia" w:hAnsiTheme="minorEastAsia" w:eastAsiaTheme="minorEastAsia"/>
          <w:b/>
          <w:bCs/>
          <w:color w:val="auto"/>
          <w:sz w:val="24"/>
          <w:szCs w:val="24"/>
          <w:highlight w:val="none"/>
        </w:rPr>
        <w:t>二、质疑项目基本情况</w:t>
      </w:r>
      <w:bookmarkEnd w:id="36"/>
    </w:p>
    <w:p w14:paraId="337F6320">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58BC0597">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5789B012">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23908EF2">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746507BC">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37" w:name="_Toc19014"/>
      <w:r>
        <w:rPr>
          <w:rFonts w:hint="eastAsia" w:cs="仿宋" w:asciiTheme="minorEastAsia" w:hAnsiTheme="minorEastAsia" w:eastAsiaTheme="minorEastAsia"/>
          <w:b/>
          <w:bCs/>
          <w:color w:val="auto"/>
          <w:sz w:val="24"/>
          <w:szCs w:val="24"/>
          <w:highlight w:val="none"/>
        </w:rPr>
        <w:t>三、质疑事项具体内容</w:t>
      </w:r>
      <w:bookmarkEnd w:id="37"/>
    </w:p>
    <w:p w14:paraId="43366FFD">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4643A17D">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1607DAFA">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46657BB4">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2227F27B">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57DC84FB">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1F8A62B7">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E3CE31D">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38" w:name="_Toc17919"/>
      <w:r>
        <w:rPr>
          <w:rFonts w:hint="eastAsia" w:cs="仿宋" w:asciiTheme="minorEastAsia" w:hAnsiTheme="minorEastAsia" w:eastAsiaTheme="minorEastAsia"/>
          <w:b/>
          <w:bCs/>
          <w:color w:val="auto"/>
          <w:sz w:val="24"/>
          <w:szCs w:val="24"/>
          <w:highlight w:val="none"/>
        </w:rPr>
        <w:t>四、与质疑事项相关的质疑请求</w:t>
      </w:r>
      <w:bookmarkEnd w:id="38"/>
    </w:p>
    <w:p w14:paraId="688BBC49">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0C0E001D">
      <w:pPr>
        <w:spacing w:line="360" w:lineRule="auto"/>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384F980E">
      <w:pPr>
        <w:spacing w:line="360" w:lineRule="auto"/>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53435D36">
      <w:pPr>
        <w:widowControl/>
        <w:jc w:val="left"/>
        <w:outlineLvl w:val="9"/>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4DD6C8F">
      <w:pPr>
        <w:outlineLvl w:val="9"/>
        <w:rPr>
          <w:rFonts w:asciiTheme="minorEastAsia" w:hAnsiTheme="minorEastAsia" w:eastAsiaTheme="minorEastAsia"/>
          <w:b/>
          <w:color w:val="auto"/>
          <w:sz w:val="28"/>
          <w:szCs w:val="32"/>
          <w:highlight w:val="none"/>
        </w:rPr>
      </w:pPr>
      <w:bookmarkStart w:id="39" w:name="_Toc26836"/>
      <w:bookmarkStart w:id="40" w:name="_Toc9754"/>
      <w:r>
        <w:rPr>
          <w:rFonts w:hint="eastAsia" w:asciiTheme="minorEastAsia" w:hAnsiTheme="minorEastAsia" w:eastAsiaTheme="minorEastAsia"/>
          <w:b/>
          <w:color w:val="auto"/>
          <w:sz w:val="28"/>
          <w:szCs w:val="32"/>
          <w:highlight w:val="none"/>
        </w:rPr>
        <w:t>质疑函制作说明：</w:t>
      </w:r>
      <w:bookmarkEnd w:id="39"/>
      <w:bookmarkEnd w:id="40"/>
    </w:p>
    <w:p w14:paraId="2E51C3D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0661CBE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AB14312">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8C9DF71">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9945778">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345AEE2F">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0A263C27">
      <w:pPr>
        <w:pStyle w:val="30"/>
        <w:outlineLvl w:val="9"/>
        <w:rPr>
          <w:rFonts w:hint="eastAsia" w:asciiTheme="minorEastAsia" w:hAnsiTheme="minorEastAsia" w:eastAsiaTheme="minorEastAsia"/>
          <w:color w:val="auto"/>
          <w:sz w:val="24"/>
          <w:highlight w:val="none"/>
        </w:rPr>
      </w:pPr>
    </w:p>
    <w:p w14:paraId="557D4A9C">
      <w:pPr>
        <w:pStyle w:val="30"/>
        <w:outlineLvl w:val="9"/>
        <w:rPr>
          <w:rFonts w:hint="eastAsia" w:asciiTheme="minorEastAsia" w:hAnsiTheme="minorEastAsia" w:eastAsiaTheme="minorEastAsia"/>
          <w:color w:val="auto"/>
          <w:sz w:val="24"/>
          <w:highlight w:val="none"/>
        </w:rPr>
      </w:pPr>
    </w:p>
    <w:p w14:paraId="2DFA62A9">
      <w:pPr>
        <w:pStyle w:val="30"/>
        <w:outlineLvl w:val="9"/>
        <w:rPr>
          <w:rFonts w:hint="eastAsia" w:asciiTheme="minorEastAsia" w:hAnsiTheme="minorEastAsia" w:eastAsiaTheme="minorEastAsia"/>
          <w:color w:val="auto"/>
          <w:sz w:val="24"/>
          <w:highlight w:val="none"/>
        </w:rPr>
      </w:pPr>
    </w:p>
    <w:p w14:paraId="6270981A">
      <w:pPr>
        <w:pStyle w:val="30"/>
        <w:outlineLvl w:val="9"/>
        <w:rPr>
          <w:rFonts w:hint="eastAsia" w:asciiTheme="minorEastAsia" w:hAnsiTheme="minorEastAsia" w:eastAsiaTheme="minorEastAsia"/>
          <w:color w:val="auto"/>
          <w:sz w:val="24"/>
          <w:highlight w:val="none"/>
        </w:rPr>
      </w:pPr>
    </w:p>
    <w:p w14:paraId="6DF0730F">
      <w:pPr>
        <w:pStyle w:val="30"/>
        <w:outlineLvl w:val="9"/>
        <w:rPr>
          <w:rFonts w:hint="eastAsia" w:asciiTheme="minorEastAsia" w:hAnsiTheme="minorEastAsia" w:eastAsiaTheme="minorEastAsia"/>
          <w:color w:val="auto"/>
          <w:sz w:val="24"/>
          <w:highlight w:val="none"/>
        </w:rPr>
      </w:pPr>
    </w:p>
    <w:p w14:paraId="40CF7844">
      <w:pPr>
        <w:pStyle w:val="30"/>
        <w:outlineLvl w:val="9"/>
        <w:rPr>
          <w:rFonts w:hint="eastAsia" w:asciiTheme="minorEastAsia" w:hAnsiTheme="minorEastAsia" w:eastAsiaTheme="minorEastAsia"/>
          <w:color w:val="auto"/>
          <w:sz w:val="24"/>
          <w:highlight w:val="none"/>
        </w:rPr>
      </w:pPr>
    </w:p>
    <w:p w14:paraId="42EBE1CC">
      <w:pPr>
        <w:pStyle w:val="30"/>
        <w:outlineLvl w:val="9"/>
        <w:rPr>
          <w:rFonts w:hint="eastAsia" w:asciiTheme="minorEastAsia" w:hAnsiTheme="minorEastAsia" w:eastAsiaTheme="minorEastAsia"/>
          <w:color w:val="auto"/>
          <w:sz w:val="24"/>
          <w:highlight w:val="none"/>
        </w:rPr>
      </w:pPr>
    </w:p>
    <w:p w14:paraId="71994D0C">
      <w:pPr>
        <w:pStyle w:val="30"/>
        <w:outlineLvl w:val="9"/>
        <w:rPr>
          <w:rFonts w:hint="eastAsia" w:asciiTheme="minorEastAsia" w:hAnsiTheme="minorEastAsia" w:eastAsiaTheme="minorEastAsia"/>
          <w:color w:val="auto"/>
          <w:sz w:val="24"/>
          <w:highlight w:val="none"/>
        </w:rPr>
      </w:pPr>
    </w:p>
    <w:p w14:paraId="13B39510">
      <w:pPr>
        <w:pStyle w:val="30"/>
        <w:outlineLvl w:val="9"/>
        <w:rPr>
          <w:rFonts w:hint="eastAsia" w:asciiTheme="minorEastAsia" w:hAnsiTheme="minorEastAsia" w:eastAsiaTheme="minorEastAsia"/>
          <w:color w:val="auto"/>
          <w:sz w:val="24"/>
          <w:highlight w:val="none"/>
        </w:rPr>
      </w:pPr>
    </w:p>
    <w:p w14:paraId="1ED8CAE8">
      <w:pPr>
        <w:pStyle w:val="30"/>
        <w:outlineLvl w:val="9"/>
        <w:rPr>
          <w:rFonts w:hint="eastAsia" w:asciiTheme="minorEastAsia" w:hAnsiTheme="minorEastAsia" w:eastAsiaTheme="minorEastAsia"/>
          <w:color w:val="auto"/>
          <w:sz w:val="24"/>
          <w:highlight w:val="none"/>
        </w:rPr>
      </w:pPr>
    </w:p>
    <w:p w14:paraId="711535E8">
      <w:pPr>
        <w:pStyle w:val="30"/>
        <w:outlineLvl w:val="9"/>
        <w:rPr>
          <w:rFonts w:hint="eastAsia" w:asciiTheme="minorEastAsia" w:hAnsiTheme="minorEastAsia" w:eastAsiaTheme="minorEastAsia"/>
          <w:color w:val="auto"/>
          <w:sz w:val="24"/>
          <w:highlight w:val="none"/>
        </w:rPr>
      </w:pPr>
    </w:p>
    <w:p w14:paraId="5C86D56C">
      <w:pPr>
        <w:pStyle w:val="30"/>
        <w:outlineLvl w:val="9"/>
        <w:rPr>
          <w:rFonts w:hint="eastAsia" w:asciiTheme="minorEastAsia" w:hAnsiTheme="minorEastAsia" w:eastAsiaTheme="minorEastAsia"/>
          <w:color w:val="auto"/>
          <w:sz w:val="24"/>
          <w:highlight w:val="none"/>
        </w:rPr>
      </w:pPr>
    </w:p>
    <w:p w14:paraId="0D22C792">
      <w:pPr>
        <w:pStyle w:val="30"/>
        <w:outlineLvl w:val="9"/>
        <w:rPr>
          <w:rFonts w:hint="eastAsia" w:asciiTheme="minorEastAsia" w:hAnsiTheme="minorEastAsia" w:eastAsiaTheme="minorEastAsia"/>
          <w:color w:val="auto"/>
          <w:sz w:val="24"/>
          <w:highlight w:val="none"/>
        </w:rPr>
      </w:pPr>
    </w:p>
    <w:p w14:paraId="62D383E5">
      <w:pPr>
        <w:pStyle w:val="30"/>
        <w:outlineLvl w:val="9"/>
        <w:rPr>
          <w:rFonts w:hint="eastAsia" w:asciiTheme="minorEastAsia" w:hAnsiTheme="minorEastAsia" w:eastAsiaTheme="minorEastAsia"/>
          <w:color w:val="auto"/>
          <w:sz w:val="24"/>
          <w:highlight w:val="none"/>
        </w:rPr>
      </w:pPr>
    </w:p>
    <w:p w14:paraId="518FB6D9">
      <w:pPr>
        <w:pStyle w:val="30"/>
        <w:outlineLvl w:val="9"/>
        <w:rPr>
          <w:rFonts w:hint="eastAsia" w:asciiTheme="minorEastAsia" w:hAnsiTheme="minorEastAsia" w:eastAsiaTheme="minorEastAsia"/>
          <w:color w:val="auto"/>
          <w:sz w:val="24"/>
          <w:highlight w:val="none"/>
        </w:rPr>
      </w:pPr>
    </w:p>
    <w:p w14:paraId="7717A97C">
      <w:pPr>
        <w:pStyle w:val="30"/>
        <w:outlineLvl w:val="9"/>
        <w:rPr>
          <w:rFonts w:hint="eastAsia" w:asciiTheme="minorEastAsia" w:hAnsiTheme="minorEastAsia" w:eastAsiaTheme="minorEastAsia"/>
          <w:color w:val="auto"/>
          <w:sz w:val="24"/>
          <w:highlight w:val="none"/>
        </w:rPr>
      </w:pPr>
    </w:p>
    <w:p w14:paraId="69A40851">
      <w:pPr>
        <w:pStyle w:val="30"/>
        <w:outlineLvl w:val="9"/>
        <w:rPr>
          <w:rFonts w:hint="eastAsia" w:asciiTheme="minorEastAsia" w:hAnsiTheme="minorEastAsia" w:eastAsiaTheme="minorEastAsia"/>
          <w:color w:val="auto"/>
          <w:sz w:val="24"/>
          <w:highlight w:val="none"/>
        </w:rPr>
      </w:pPr>
    </w:p>
    <w:p w14:paraId="2EB66615">
      <w:pPr>
        <w:pStyle w:val="30"/>
        <w:outlineLvl w:val="9"/>
        <w:rPr>
          <w:rFonts w:hint="eastAsia" w:asciiTheme="minorEastAsia" w:hAnsiTheme="minorEastAsia" w:eastAsiaTheme="minorEastAsia"/>
          <w:color w:val="auto"/>
          <w:sz w:val="24"/>
          <w:highlight w:val="none"/>
        </w:rPr>
      </w:pPr>
    </w:p>
    <w:p w14:paraId="6357C3C1">
      <w:pPr>
        <w:pStyle w:val="30"/>
        <w:outlineLvl w:val="9"/>
        <w:rPr>
          <w:rFonts w:hint="eastAsia" w:asciiTheme="minorEastAsia" w:hAnsiTheme="minorEastAsia" w:eastAsiaTheme="minorEastAsia"/>
          <w:color w:val="auto"/>
          <w:sz w:val="24"/>
          <w:highlight w:val="none"/>
        </w:rPr>
      </w:pPr>
    </w:p>
    <w:p w14:paraId="5E4D6B89">
      <w:pPr>
        <w:pStyle w:val="30"/>
        <w:outlineLvl w:val="9"/>
        <w:rPr>
          <w:rFonts w:hint="eastAsia" w:asciiTheme="minorEastAsia" w:hAnsiTheme="minorEastAsia" w:eastAsiaTheme="minorEastAsia"/>
          <w:color w:val="auto"/>
          <w:sz w:val="24"/>
          <w:highlight w:val="none"/>
        </w:rPr>
      </w:pPr>
    </w:p>
    <w:p w14:paraId="2D0AD1CF">
      <w:pPr>
        <w:pStyle w:val="30"/>
        <w:outlineLvl w:val="9"/>
        <w:rPr>
          <w:rFonts w:hint="eastAsia" w:asciiTheme="minorEastAsia" w:hAnsiTheme="minorEastAsia" w:eastAsiaTheme="minorEastAsia"/>
          <w:color w:val="auto"/>
          <w:sz w:val="24"/>
          <w:highlight w:val="none"/>
        </w:rPr>
      </w:pPr>
    </w:p>
    <w:p w14:paraId="788AB848">
      <w:pPr>
        <w:pStyle w:val="30"/>
        <w:outlineLvl w:val="9"/>
        <w:rPr>
          <w:rFonts w:hint="eastAsia" w:asciiTheme="minorEastAsia" w:hAnsiTheme="minorEastAsia" w:eastAsiaTheme="minorEastAsia"/>
          <w:color w:val="auto"/>
          <w:sz w:val="24"/>
          <w:highlight w:val="none"/>
        </w:rPr>
      </w:pPr>
    </w:p>
    <w:p w14:paraId="354E6580">
      <w:pPr>
        <w:pStyle w:val="30"/>
        <w:outlineLvl w:val="9"/>
        <w:rPr>
          <w:rFonts w:hint="eastAsia" w:asciiTheme="minorEastAsia" w:hAnsiTheme="minorEastAsia" w:eastAsiaTheme="minorEastAsia"/>
          <w:color w:val="auto"/>
          <w:sz w:val="24"/>
          <w:highlight w:val="none"/>
        </w:rPr>
      </w:pPr>
    </w:p>
    <w:p w14:paraId="2454B005">
      <w:pPr>
        <w:pStyle w:val="30"/>
        <w:outlineLvl w:val="9"/>
        <w:rPr>
          <w:rFonts w:hint="eastAsia" w:asciiTheme="minorEastAsia" w:hAnsiTheme="minorEastAsia" w:eastAsiaTheme="minorEastAsia"/>
          <w:color w:val="auto"/>
          <w:sz w:val="24"/>
          <w:highlight w:val="none"/>
        </w:rPr>
      </w:pPr>
    </w:p>
    <w:p w14:paraId="208F147B">
      <w:pPr>
        <w:pStyle w:val="30"/>
        <w:outlineLvl w:val="9"/>
        <w:rPr>
          <w:rFonts w:hint="eastAsia" w:asciiTheme="minorEastAsia" w:hAnsiTheme="minorEastAsia" w:eastAsiaTheme="minorEastAsia"/>
          <w:color w:val="auto"/>
          <w:sz w:val="24"/>
          <w:highlight w:val="none"/>
        </w:rPr>
      </w:pPr>
    </w:p>
    <w:p w14:paraId="1DBF91CC">
      <w:pPr>
        <w:pStyle w:val="30"/>
        <w:outlineLvl w:val="9"/>
        <w:rPr>
          <w:rFonts w:hint="eastAsia" w:asciiTheme="minorEastAsia" w:hAnsiTheme="minorEastAsia" w:eastAsiaTheme="minorEastAsia"/>
          <w:color w:val="auto"/>
          <w:sz w:val="24"/>
          <w:highlight w:val="none"/>
        </w:rPr>
      </w:pPr>
    </w:p>
    <w:p w14:paraId="62DD69BC">
      <w:pPr>
        <w:pStyle w:val="30"/>
        <w:outlineLvl w:val="9"/>
        <w:rPr>
          <w:rFonts w:hint="eastAsia" w:asciiTheme="minorEastAsia" w:hAnsiTheme="minorEastAsia" w:eastAsiaTheme="minorEastAsia"/>
          <w:color w:val="auto"/>
          <w:sz w:val="24"/>
          <w:highlight w:val="none"/>
        </w:rPr>
      </w:pPr>
    </w:p>
    <w:p w14:paraId="565A07DD">
      <w:pPr>
        <w:keepNext/>
        <w:keepLines/>
        <w:pageBreakBefore w:val="0"/>
        <w:widowControl/>
        <w:kinsoku w:val="0"/>
        <w:overflowPunct/>
        <w:topLinePunct w:val="0"/>
        <w:autoSpaceDE w:val="0"/>
        <w:autoSpaceDN w:val="0"/>
        <w:bidi w:val="0"/>
        <w:adjustRightInd w:val="0"/>
        <w:snapToGrid w:val="0"/>
        <w:spacing w:line="440" w:lineRule="exact"/>
        <w:outlineLvl w:val="9"/>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附件1 关于联合惩戒失信行为加强信用查询管理的通知</w:t>
      </w:r>
    </w:p>
    <w:p w14:paraId="3958F7FA">
      <w:pPr>
        <w:pageBreakBefore w:val="0"/>
        <w:widowControl/>
        <w:kinsoku w:val="0"/>
        <w:overflowPunct/>
        <w:topLinePunct w:val="0"/>
        <w:autoSpaceDE w:val="0"/>
        <w:autoSpaceDN w:val="0"/>
        <w:bidi w:val="0"/>
        <w:adjustRightInd w:val="0"/>
        <w:snapToGrid w:val="0"/>
        <w:spacing w:line="44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一、失信行为联合惩戒的范围和查询渠道</w:t>
      </w:r>
    </w:p>
    <w:p w14:paraId="2B54358E">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在我市公共资源交易活动中对存在下列失信行为的投标人、法定代表人及其项目经理（建造师）实施联合惩戒，禁止参与我市公共资源交易活动。</w:t>
      </w:r>
    </w:p>
    <w:p w14:paraId="1B7D748B">
      <w:pPr>
        <w:pageBreakBefore w:val="0"/>
        <w:widowControl/>
        <w:kinsoku w:val="0"/>
        <w:overflowPunct/>
        <w:topLinePunct w:val="0"/>
        <w:autoSpaceDE w:val="0"/>
        <w:autoSpaceDN w:val="0"/>
        <w:bidi w:val="0"/>
        <w:adjustRightInd w:val="0"/>
        <w:snapToGrid w:val="0"/>
        <w:spacing w:line="44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（一）工程建设项目</w:t>
      </w:r>
    </w:p>
    <w:p w14:paraId="76C7A8EC">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1、“信用中国”网站（www.creditchina.gov.cn）查询</w:t>
      </w:r>
      <w:bookmarkStart w:id="41" w:name="OLE_LINK103"/>
      <w:bookmarkStart w:id="42" w:name="OLE_LINK93"/>
      <w:bookmarkStart w:id="43" w:name="OLE_LINK92"/>
      <w:bookmarkStart w:id="44" w:name="OLE_LINK91"/>
      <w:r>
        <w:rPr>
          <w:rFonts w:hint="eastAsia" w:ascii="宋体" w:hAnsi="宋体" w:eastAsia="宋体" w:cs="宋体"/>
          <w:color w:val="auto"/>
          <w:sz w:val="24"/>
          <w:szCs w:val="24"/>
          <w:highlight w:val="none"/>
        </w:rPr>
        <w:t>投标人、法定代表人及其项目经理(建造师)</w:t>
      </w:r>
      <w:bookmarkEnd w:id="41"/>
      <w:bookmarkEnd w:id="42"/>
      <w:bookmarkEnd w:id="43"/>
      <w:bookmarkEnd w:id="44"/>
      <w:r>
        <w:rPr>
          <w:rFonts w:hint="eastAsia" w:ascii="宋体" w:hAnsi="宋体" w:eastAsia="宋体" w:cs="宋体"/>
          <w:color w:val="auto"/>
          <w:sz w:val="24"/>
          <w:szCs w:val="24"/>
          <w:highlight w:val="none"/>
        </w:rPr>
        <w:t>以下失信行为：</w:t>
      </w:r>
    </w:p>
    <w:p w14:paraId="31BCEE3D">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①被列入“失信被执行人”的;</w:t>
      </w:r>
    </w:p>
    <w:p w14:paraId="2F40D363">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②被列入</w:t>
      </w:r>
      <w:bookmarkStart w:id="45" w:name="OLE_LINK118"/>
      <w:bookmarkStart w:id="46" w:name="OLE_LINK117"/>
      <w:bookmarkStart w:id="47" w:name="OLE_LINK116"/>
      <w:bookmarkStart w:id="48" w:name="OLE_LINK115"/>
      <w:r>
        <w:rPr>
          <w:rFonts w:hint="eastAsia" w:ascii="宋体" w:hAnsi="宋体" w:eastAsia="宋体" w:cs="宋体"/>
          <w:color w:val="auto"/>
          <w:sz w:val="24"/>
          <w:szCs w:val="24"/>
          <w:highlight w:val="none"/>
        </w:rPr>
        <w:t>“重大税收违法失信主体”</w:t>
      </w:r>
      <w:bookmarkEnd w:id="45"/>
      <w:bookmarkEnd w:id="46"/>
      <w:bookmarkEnd w:id="47"/>
      <w:bookmarkEnd w:id="48"/>
      <w:r>
        <w:rPr>
          <w:rFonts w:hint="eastAsia" w:ascii="宋体" w:hAnsi="宋体" w:eastAsia="宋体" w:cs="宋体"/>
          <w:color w:val="auto"/>
          <w:sz w:val="24"/>
          <w:szCs w:val="24"/>
          <w:highlight w:val="none"/>
        </w:rPr>
        <w:t>的；</w:t>
      </w:r>
    </w:p>
    <w:p w14:paraId="23352043">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③被列入“拖欠</w:t>
      </w:r>
      <w:bookmarkStart w:id="49" w:name="OLE_LINK85"/>
      <w:bookmarkStart w:id="50" w:name="OLE_LINK84"/>
      <w:r>
        <w:rPr>
          <w:rFonts w:hint="eastAsia" w:ascii="宋体" w:hAnsi="宋体" w:eastAsia="宋体" w:cs="宋体"/>
          <w:color w:val="auto"/>
          <w:sz w:val="24"/>
          <w:szCs w:val="24"/>
          <w:highlight w:val="none"/>
        </w:rPr>
        <w:t>农民工工资失信联合惩戒对象</w:t>
      </w:r>
      <w:bookmarkEnd w:id="49"/>
      <w:bookmarkEnd w:id="50"/>
      <w:r>
        <w:rPr>
          <w:rFonts w:hint="eastAsia" w:ascii="宋体" w:hAnsi="宋体" w:eastAsia="宋体" w:cs="宋体"/>
          <w:color w:val="auto"/>
          <w:sz w:val="24"/>
          <w:szCs w:val="24"/>
          <w:highlight w:val="none"/>
        </w:rPr>
        <w:t>名单”的；</w:t>
      </w:r>
    </w:p>
    <w:p w14:paraId="0ECD5408">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④被列入 “严重失信主体名单”的；</w:t>
      </w:r>
    </w:p>
    <w:p w14:paraId="0AE96815">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⑤在“信用中国”网站上披露的仍在公示期的严重失信行为(具体行为类别及判定依据见附件2)的。</w:t>
      </w:r>
    </w:p>
    <w:p w14:paraId="14411940">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51" w:name="OLE_LINK130"/>
      <w:r>
        <w:rPr>
          <w:rFonts w:hint="eastAsia" w:ascii="宋体" w:hAnsi="宋体" w:eastAsia="宋体" w:cs="宋体"/>
          <w:color w:val="auto"/>
          <w:sz w:val="24"/>
          <w:szCs w:val="24"/>
          <w:highlight w:val="none"/>
        </w:rPr>
        <w:t>国家企业信用信息公示系统网站</w:t>
      </w:r>
      <w:bookmarkEnd w:id="5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"http://www.gsxt.gov.cn）查询" </w:instrText>
      </w:r>
      <w:r>
        <w:rPr>
          <w:rFonts w:hint="eastAsia" w:ascii="宋体" w:hAnsi="宋体" w:eastAsia="宋体" w:cs="宋体"/>
          <w:color w:val="auto"/>
          <w:sz w:val="24"/>
          <w:szCs w:val="24"/>
          <w:highlight w:val="none"/>
        </w:rPr>
        <w:fldChar w:fldCharType="separate"/>
      </w:r>
      <w:bookmarkStart w:id="52" w:name="OLE_LINK90"/>
      <w:bookmarkStart w:id="53" w:name="OLE_LINK89"/>
      <w:r>
        <w:rPr>
          <w:rStyle w:val="28"/>
          <w:rFonts w:hint="eastAsia" w:ascii="宋体" w:hAnsi="宋体" w:eastAsia="宋体" w:cs="宋体"/>
          <w:color w:val="auto"/>
          <w:sz w:val="24"/>
          <w:szCs w:val="24"/>
          <w:highlight w:val="none"/>
        </w:rPr>
        <w:t>www.gsxt.gov.cn</w:t>
      </w:r>
      <w:bookmarkEnd w:id="52"/>
      <w:bookmarkEnd w:id="53"/>
      <w:r>
        <w:rPr>
          <w:rStyle w:val="28"/>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查询投标人以下失信行为：</w:t>
      </w:r>
    </w:p>
    <w:p w14:paraId="4B99B760">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bookmarkStart w:id="54" w:name="OLE_LINK121"/>
      <w:bookmarkStart w:id="55" w:name="OLE_LINK122"/>
      <w:bookmarkStart w:id="56" w:name="OLE_LINK120"/>
      <w:r>
        <w:rPr>
          <w:rFonts w:hint="eastAsia" w:ascii="宋体" w:hAnsi="宋体" w:eastAsia="宋体" w:cs="宋体"/>
          <w:color w:val="auto"/>
          <w:sz w:val="24"/>
          <w:szCs w:val="24"/>
          <w:highlight w:val="none"/>
        </w:rPr>
        <w:t>①被列入“经营异常名录”或者“严重违法失信名单”的。</w:t>
      </w:r>
      <w:bookmarkEnd w:id="54"/>
      <w:bookmarkEnd w:id="55"/>
      <w:bookmarkEnd w:id="56"/>
    </w:p>
    <w:p w14:paraId="7ECF0423">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w:t>
      </w:r>
      <w:r>
        <w:rPr>
          <w:rFonts w:hint="eastAsia" w:ascii="宋体" w:hAnsi="宋体" w:eastAsia="宋体" w:cs="宋体"/>
          <w:color w:val="auto"/>
          <w:kern w:val="0"/>
          <w:sz w:val="24"/>
          <w:szCs w:val="24"/>
          <w:highlight w:val="none"/>
        </w:rPr>
        <w:t>投标人、法定代表人及其项目经理(建造师)</w:t>
      </w:r>
      <w:r>
        <w:rPr>
          <w:rFonts w:hint="eastAsia" w:ascii="宋体" w:hAnsi="宋体" w:eastAsia="宋体" w:cs="宋体"/>
          <w:color w:val="auto"/>
          <w:sz w:val="24"/>
          <w:szCs w:val="24"/>
          <w:highlight w:val="none"/>
        </w:rPr>
        <w:t>进行承诺，不进行现场网上信用查询的失信行为：</w:t>
      </w:r>
    </w:p>
    <w:p w14:paraId="3DCBD57E">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①前三年有行贿犯罪行为的单位和个人；</w:t>
      </w:r>
    </w:p>
    <w:p w14:paraId="307D0A91">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②被滁州市县两级公管部门取消在一定期限内的投标资格且在取消期限内的；</w:t>
      </w:r>
    </w:p>
    <w:p w14:paraId="3A3C2AAA">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③被滁州市县两级各行业主管部门取消在一定期限内的投标资格且在取消期限内的；</w:t>
      </w:r>
    </w:p>
    <w:p w14:paraId="2C694BF1">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④因拖欠农民工工资被</w:t>
      </w:r>
      <w:bookmarkStart w:id="57" w:name="OLE_LINK108"/>
      <w:bookmarkStart w:id="58" w:name="OLE_LINK107"/>
      <w:r>
        <w:rPr>
          <w:rFonts w:hint="eastAsia" w:ascii="宋体" w:hAnsi="宋体" w:eastAsia="宋体" w:cs="宋体"/>
          <w:color w:val="auto"/>
          <w:sz w:val="24"/>
          <w:szCs w:val="24"/>
          <w:highlight w:val="none"/>
        </w:rPr>
        <w:t>县级及以上有关行政主管部门限制投标资格且在限制期限内的</w:t>
      </w:r>
      <w:bookmarkEnd w:id="57"/>
      <w:bookmarkEnd w:id="58"/>
      <w:r>
        <w:rPr>
          <w:rFonts w:hint="eastAsia" w:ascii="宋体" w:hAnsi="宋体" w:eastAsia="宋体" w:cs="宋体"/>
          <w:color w:val="auto"/>
          <w:sz w:val="24"/>
          <w:szCs w:val="24"/>
          <w:highlight w:val="none"/>
        </w:rPr>
        <w:t>；</w:t>
      </w:r>
    </w:p>
    <w:p w14:paraId="395DF6AB">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12D6AA2D">
      <w:pPr>
        <w:pageBreakBefore w:val="0"/>
        <w:widowControl/>
        <w:kinsoku w:val="0"/>
        <w:overflowPunct/>
        <w:topLinePunct w:val="0"/>
        <w:autoSpaceDE w:val="0"/>
        <w:autoSpaceDN w:val="0"/>
        <w:bidi w:val="0"/>
        <w:adjustRightInd w:val="0"/>
        <w:snapToGrid w:val="0"/>
        <w:spacing w:line="44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（二）政府采购项目</w:t>
      </w:r>
    </w:p>
    <w:p w14:paraId="6088F3A3">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1、“信用中国”网站（</w:t>
      </w:r>
      <w:r>
        <w:rPr>
          <w:rStyle w:val="28"/>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t>）查询供应商、法定代表人及其项目负责人以下失信行为：</w:t>
      </w:r>
    </w:p>
    <w:p w14:paraId="325A59EA">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①被列入“失信被执行人”的;</w:t>
      </w:r>
    </w:p>
    <w:p w14:paraId="211C347E">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②被列入“重大税收违法失信主体”的；</w:t>
      </w:r>
    </w:p>
    <w:p w14:paraId="214418F8">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③被列入“拖欠农民工工资失信联合惩戒对象名单”的；</w:t>
      </w:r>
    </w:p>
    <w:p w14:paraId="4582E61E">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④被列入 “严重失信主体名单”的；</w:t>
      </w:r>
    </w:p>
    <w:p w14:paraId="53BFB62C">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⑤在“信用中国”网站上披露的仍在公示期的严重失信行为(具体行为类别及判定依据见附件2)的。</w:t>
      </w:r>
    </w:p>
    <w:p w14:paraId="19D8D106">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2、国家企业信用信息公示系统网站（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"http://www.gsxt.gov.cn）查询"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www.gsxt.gov.cn）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查询供应商以下失信行为：</w:t>
      </w:r>
    </w:p>
    <w:p w14:paraId="6AAC4543">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bookmarkStart w:id="59" w:name="OLE_LINK100"/>
      <w:bookmarkStart w:id="60" w:name="OLE_LINK101"/>
      <w:bookmarkStart w:id="61" w:name="OLE_LINK102"/>
      <w:r>
        <w:rPr>
          <w:rFonts w:hint="eastAsia" w:ascii="宋体" w:hAnsi="宋体" w:eastAsia="宋体" w:cs="宋体"/>
          <w:color w:val="auto"/>
          <w:sz w:val="24"/>
          <w:szCs w:val="24"/>
          <w:highlight w:val="none"/>
        </w:rPr>
        <w:t>被列入“经营异常名录”或者“严重违法失信名单”的</w:t>
      </w:r>
      <w:bookmarkEnd w:id="59"/>
      <w:bookmarkEnd w:id="60"/>
      <w:bookmarkEnd w:id="61"/>
      <w:r>
        <w:rPr>
          <w:rFonts w:hint="eastAsia" w:ascii="宋体" w:hAnsi="宋体" w:eastAsia="宋体" w:cs="宋体"/>
          <w:color w:val="auto"/>
          <w:sz w:val="24"/>
          <w:szCs w:val="24"/>
          <w:highlight w:val="none"/>
        </w:rPr>
        <w:t>。</w:t>
      </w:r>
    </w:p>
    <w:p w14:paraId="5600A025">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3、中国政府采购网站（</w:t>
      </w:r>
      <w:bookmarkStart w:id="62" w:name="OLE_LINK95"/>
      <w:bookmarkStart w:id="63" w:name="OLE_LINK96"/>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rPr>
        <w:fldChar w:fldCharType="end"/>
      </w:r>
      <w:bookmarkEnd w:id="62"/>
      <w:bookmarkEnd w:id="63"/>
      <w:r>
        <w:rPr>
          <w:rFonts w:hint="eastAsia" w:ascii="宋体" w:hAnsi="宋体" w:eastAsia="宋体" w:cs="宋体"/>
          <w:color w:val="auto"/>
          <w:sz w:val="24"/>
          <w:szCs w:val="24"/>
          <w:highlight w:val="none"/>
        </w:rPr>
        <w:t>）查询以下失信行为：</w:t>
      </w:r>
    </w:p>
    <w:p w14:paraId="4EFF4190">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bookmarkStart w:id="64" w:name="OLE_LINK104"/>
      <w:bookmarkStart w:id="65" w:name="OLE_LINK106"/>
      <w:bookmarkStart w:id="66" w:name="OLE_LINK105"/>
      <w:r>
        <w:rPr>
          <w:rFonts w:hint="eastAsia" w:ascii="宋体" w:hAnsi="宋体" w:eastAsia="宋体" w:cs="宋体"/>
          <w:color w:val="auto"/>
          <w:sz w:val="24"/>
          <w:szCs w:val="24"/>
          <w:highlight w:val="none"/>
        </w:rPr>
        <w:t>被列入“政府采购严重违法失信行为信息记录”的</w:t>
      </w:r>
      <w:bookmarkEnd w:id="64"/>
      <w:bookmarkEnd w:id="65"/>
      <w:bookmarkEnd w:id="66"/>
      <w:r>
        <w:rPr>
          <w:rFonts w:hint="eastAsia" w:ascii="宋体" w:hAnsi="宋体" w:eastAsia="宋体" w:cs="宋体"/>
          <w:color w:val="auto"/>
          <w:sz w:val="24"/>
          <w:szCs w:val="24"/>
          <w:highlight w:val="none"/>
        </w:rPr>
        <w:t>。</w:t>
      </w:r>
    </w:p>
    <w:p w14:paraId="201DAF54">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4、由竞争主体进行承诺，不进行现场网上信用查询的失信行为：</w:t>
      </w:r>
    </w:p>
    <w:p w14:paraId="33591D26">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①前三年有行贿犯罪行为的单位和个人。</w:t>
      </w:r>
    </w:p>
    <w:p w14:paraId="61A28529">
      <w:pPr>
        <w:pageBreakBefore w:val="0"/>
        <w:widowControl/>
        <w:kinsoku w:val="0"/>
        <w:overflowPunct/>
        <w:topLinePunct w:val="0"/>
        <w:autoSpaceDE w:val="0"/>
        <w:autoSpaceDN w:val="0"/>
        <w:bidi w:val="0"/>
        <w:adjustRightInd w:val="0"/>
        <w:snapToGrid w:val="0"/>
        <w:spacing w:line="44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二、在开评标活动中的查询程序</w:t>
      </w:r>
    </w:p>
    <w:p w14:paraId="0C3AADBB">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5DC8B3AF">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96FCF90">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3、项目单位及其委托的代理机构应当做好信用查询结果截图和记录留存。</w:t>
      </w:r>
    </w:p>
    <w:p w14:paraId="3F5AAD33">
      <w:pPr>
        <w:pageBreakBefore w:val="0"/>
        <w:widowControl/>
        <w:kinsoku w:val="0"/>
        <w:overflowPunct/>
        <w:topLinePunct w:val="0"/>
        <w:autoSpaceDE w:val="0"/>
        <w:autoSpaceDN w:val="0"/>
        <w:bidi w:val="0"/>
        <w:adjustRightInd w:val="0"/>
        <w:snapToGrid w:val="0"/>
        <w:spacing w:line="44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三、相关要求</w:t>
      </w:r>
    </w:p>
    <w:p w14:paraId="29186AE3">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33C02FD0">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7F629ECB">
      <w:pPr>
        <w:pageBreakBefore w:val="0"/>
        <w:widowControl/>
        <w:kinsoku w:val="0"/>
        <w:wordWrap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"https://credit.ah.gov.cn/xinyong-fuwu/xvbahv/index.html"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https://credit.ah.gov.cn/xinyong-fuwu/xvbahv/index.html</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479DCB69">
      <w:pPr>
        <w:pageBreakBefore w:val="0"/>
        <w:widowControl/>
        <w:kinsoku w:val="0"/>
        <w:overflowPunct/>
        <w:topLinePunct w:val="0"/>
        <w:autoSpaceDE w:val="0"/>
        <w:autoSpaceDN w:val="0"/>
        <w:bidi w:val="0"/>
        <w:adjustRightInd w:val="0"/>
        <w:snapToGrid w:val="0"/>
        <w:spacing w:line="44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2、“信用中国”查询的严重失信行为判定依据为各行业主管部门下发的联合惩戒文件中规定的行为（按附件2执行）。</w:t>
      </w:r>
    </w:p>
    <w:p w14:paraId="699DBF12">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3、资格预审的项目以递交资格预审申请文件截止时间查询为准；资格后审的项目以递交投标文件截止时间查询为准。</w:t>
      </w:r>
    </w:p>
    <w:p w14:paraId="3E92DEDC">
      <w:pPr>
        <w:keepNext/>
        <w:keepLines/>
        <w:pageBreakBefore w:val="0"/>
        <w:widowControl/>
        <w:kinsoku w:val="0"/>
        <w:overflowPunct/>
        <w:topLinePunct w:val="0"/>
        <w:autoSpaceDE w:val="0"/>
        <w:autoSpaceDN w:val="0"/>
        <w:bidi w:val="0"/>
        <w:adjustRightInd w:val="0"/>
        <w:snapToGrid w:val="0"/>
        <w:spacing w:line="440" w:lineRule="exact"/>
        <w:outlineLvl w:val="9"/>
        <w:rPr>
          <w:rFonts w:hint="eastAsia" w:ascii="宋体" w:hAnsi="宋体" w:eastAsia="宋体" w:cs="宋体"/>
          <w:b/>
          <w:bCs/>
          <w:color w:val="auto"/>
          <w:kern w:val="44"/>
          <w:sz w:val="24"/>
          <w:szCs w:val="24"/>
          <w:highlight w:val="none"/>
        </w:rPr>
      </w:pPr>
      <w:bookmarkStart w:id="67" w:name="_Toc95223549"/>
      <w:r>
        <w:rPr>
          <w:rFonts w:hint="eastAsia" w:ascii="宋体" w:hAnsi="宋体" w:eastAsia="宋体" w:cs="宋体"/>
          <w:b/>
          <w:bCs/>
          <w:color w:val="auto"/>
          <w:kern w:val="44"/>
          <w:sz w:val="24"/>
          <w:szCs w:val="24"/>
          <w:highlight w:val="none"/>
        </w:rPr>
        <w:t xml:space="preserve">附件2 </w:t>
      </w:r>
      <w:bookmarkStart w:id="68" w:name="OLE_LINK74"/>
      <w:bookmarkStart w:id="69" w:name="OLE_LINK75"/>
      <w:r>
        <w:rPr>
          <w:rFonts w:hint="eastAsia" w:ascii="宋体" w:hAnsi="宋体" w:eastAsia="宋体" w:cs="宋体"/>
          <w:b/>
          <w:bCs/>
          <w:color w:val="auto"/>
          <w:kern w:val="44"/>
          <w:sz w:val="24"/>
          <w:szCs w:val="24"/>
          <w:highlight w:val="none"/>
        </w:rPr>
        <w:t>“信用中国”查询的严重失信行为</w:t>
      </w:r>
      <w:bookmarkStart w:id="70" w:name="OLE_LINK40"/>
      <w:bookmarkStart w:id="71" w:name="OLE_LINK76"/>
      <w:bookmarkStart w:id="72" w:name="OLE_LINK39"/>
      <w:r>
        <w:rPr>
          <w:rFonts w:hint="eastAsia" w:ascii="宋体" w:hAnsi="宋体" w:eastAsia="宋体" w:cs="宋体"/>
          <w:b/>
          <w:bCs/>
          <w:color w:val="auto"/>
          <w:kern w:val="44"/>
          <w:sz w:val="24"/>
          <w:szCs w:val="24"/>
          <w:highlight w:val="none"/>
        </w:rPr>
        <w:t>类别及判定依据</w:t>
      </w:r>
      <w:bookmarkEnd w:id="67"/>
      <w:bookmarkEnd w:id="68"/>
      <w:bookmarkEnd w:id="69"/>
      <w:bookmarkEnd w:id="70"/>
      <w:bookmarkEnd w:id="71"/>
      <w:bookmarkEnd w:id="72"/>
    </w:p>
    <w:p w14:paraId="114BAE89">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“信用中国”查询的严重失信行为判定依据为各行业主管部门下发的联合惩戒文件中规定的行为。下面将部分类别的严重失信行为列举如下：</w:t>
      </w:r>
    </w:p>
    <w:p w14:paraId="56ED4766">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一、安全生产领域严重失信行为：</w:t>
      </w:r>
    </w:p>
    <w:p w14:paraId="12687530">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（一）下列发生生产安全事故的生产经营单位及其有关人员应当列入严重失信主体名单：</w:t>
      </w:r>
    </w:p>
    <w:p w14:paraId="4DB156B5">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1、发生特别重大、重大生产安全事故的生产经营单位及其主要负责人，以及经调查认定对该事故发生负有责任，应当列入名单的其他单位和人员；</w:t>
      </w:r>
    </w:p>
    <w:p w14:paraId="54F9BE5A">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2、12个月内累计发生2起以上较大生产安全事故的生产经营单位及其主要负责人；</w:t>
      </w:r>
    </w:p>
    <w:p w14:paraId="4968D0E7">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3、发生生产安全事故，情节特别严重、影响特别恶劣，依照《中华人民共和国安全生产法》第一百一十四条的规定被处以罚款数额2倍以上5倍以下罚款的生产经营单位及其主要负责人；</w:t>
      </w:r>
    </w:p>
    <w:p w14:paraId="1D44117A">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4、瞒报、谎报生产安全事故的生产经营单位及其有关责任人员；</w:t>
      </w:r>
    </w:p>
    <w:p w14:paraId="39D26784">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5、发生生产安全事故后，不立即组织抢救或者在事故调查处理期间擅离职守或者逃匿的生产经营单位主要负责人。</w:t>
      </w:r>
    </w:p>
    <w:p w14:paraId="694CCFD3">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（二）下列未发生生产安全事故，但因安全生产违法行为，受到行政处罚的生产经营单位或者机构及其有关人员，应当列入严重失信主体名单：</w:t>
      </w:r>
    </w:p>
    <w:p w14:paraId="12872E05">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1、未依法取得安全生产相关许可或者许可被暂扣、吊销期间从事相关生产经营活动的生产经营单位及其主要负责人；</w:t>
      </w:r>
    </w:p>
    <w:p w14:paraId="093F5AD0">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2、承担安全评价、认证、检测、检验职责的机构及其直接责任人员租借资质、挂靠、出具虚假报告或者证书的；</w:t>
      </w:r>
    </w:p>
    <w:p w14:paraId="2049896C">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3、在应急管理部门作出行政处罚后，有执行能力拒不执行或者逃避执行的生产经营单位及其主要负责人；</w:t>
      </w:r>
    </w:p>
    <w:p w14:paraId="1337AB15">
      <w:pPr>
        <w:keepNext w:val="0"/>
        <w:keepLines w:val="0"/>
        <w:pageBreakBefore w:val="0"/>
        <w:widowControl/>
        <w:kinsoku/>
        <w:wordWrap w:val="0"/>
        <w:overflowPunct/>
        <w:topLinePunct/>
        <w:autoSpaceDE/>
        <w:autoSpaceDN/>
        <w:bidi w:val="0"/>
        <w:adjustRightInd w:val="0"/>
        <w:snapToGrid w:val="0"/>
        <w:spacing w:line="440" w:lineRule="exact"/>
        <w:ind w:firstLine="646"/>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4、其他违反安全生产法律法规受到行政处罚，且性质恶劣、情节严重的</w:t>
      </w:r>
      <w:r>
        <w:rPr>
          <w:rFonts w:hint="eastAsia" w:ascii="宋体" w:hAnsi="宋体" w:eastAsia="宋体" w:cs="宋体"/>
          <w:color w:val="auto"/>
          <w:sz w:val="24"/>
          <w:szCs w:val="24"/>
          <w:highlight w:val="none"/>
          <w:lang w:eastAsia="zh-CN"/>
        </w:rPr>
        <w:t>。</w:t>
      </w:r>
    </w:p>
    <w:p w14:paraId="38876C24">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依据：《安全生产严重失信主体名单管理办法》（2023年8月8日应急管理部令第11号）</w:t>
      </w:r>
    </w:p>
    <w:p w14:paraId="23784079">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b/>
          <w:color w:val="auto"/>
          <w:sz w:val="24"/>
          <w:szCs w:val="24"/>
          <w:highlight w:val="none"/>
        </w:rPr>
      </w:pPr>
    </w:p>
    <w:p w14:paraId="5F8C5BA4">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二、环境保护领域严重失信行为：</w:t>
      </w:r>
    </w:p>
    <w:p w14:paraId="1C943DC7">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（一）因为环境违法构成</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"https://baike.sogou.com/m/fullLemma?lid=10403954&amp;g_ut=3"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环境犯罪</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38CDF9F8">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"https://baike.sogou.com/m/fullLemma?lid=76033123&amp;g_ut=3"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建设项目环境影响评价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文件未按规定通过审批，擅自开工建设的；</w:t>
      </w:r>
    </w:p>
    <w:p w14:paraId="40164AFE">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（三）建设项目环保设施未建成、环保措施未落实、未通过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"https://baike.sogou.com/m/fullLemma?lid=6470550&amp;g_ut=3"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竣工环保验收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或者验收不合格，主体工程正式投入生产或者使用的；</w:t>
      </w:r>
    </w:p>
    <w:p w14:paraId="63AB2BE2">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（四）建设项目性质、规模、地点、采用的生产工艺或者防治污染、防止生态破坏的措施发生重大变动，未重新报批环境影响评价文件，擅自投入生产或者使用的；</w:t>
      </w:r>
    </w:p>
    <w:p w14:paraId="76A6B7C1">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（五）主要污染物排放总量超过控制指标的；</w:t>
      </w:r>
    </w:p>
    <w:p w14:paraId="20EB02CE">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（六）私设暗管或者利用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"https://baike.sogou.com/m/fullLemma?lid=41657319&amp;g_ut=3"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渗井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、渗坑、裂隙、溶洞等排放、倾倒、处置水污染物，或者通过私设旁路排放</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"https://baike.sogou.com/m/fullLemma?lid=7758328&amp;g_ut=3"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大气污染物</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26D3469D">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（七）非法排放、倾倒、处置危险废物，或者向无</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"https://baike.sogou.com/m/fullLemma?lid=5923292&amp;g_ut=3"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经营许可证</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或者超出经营许可范围的单位或个人提供或者委托其收集、贮存、利用、处置危险废物的；</w:t>
      </w:r>
    </w:p>
    <w:p w14:paraId="5BF02A65">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"https://baike.sogou.com/m/fullLemma?lid=167759803&amp;g_ut=3"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环境违法行为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造成集中式生活饮用水水源取水中断的；</w:t>
      </w:r>
    </w:p>
    <w:p w14:paraId="048DBBD5">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（九）环境违法行为对生活饮用水水源保护区、自然保护区、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"https://baike.sogou.com/m/fullLemma?lid=155199213&amp;g_ut=3"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国家重点生态功能区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、风景名胜区、居住功能区、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"https://baike.sogou.com/m/fullLemma?lid=7757164&amp;g_ut=3"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基本农田保护区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等环境敏感区造成重大不利影响的；</w:t>
      </w:r>
    </w:p>
    <w:p w14:paraId="0AD8AD01">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（十）违法从事自然资源开发、交通基础设施建设，以及其他开发建设活动，造成严重生态破坏的；</w:t>
      </w:r>
    </w:p>
    <w:p w14:paraId="70305137">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（十一）发生较大及以上突发环境事件的；</w:t>
      </w:r>
    </w:p>
    <w:p w14:paraId="1FF2D0F5">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（十二）被环保部门挂牌督办，整改逾期未完成的；</w:t>
      </w:r>
    </w:p>
    <w:p w14:paraId="0B2149B8">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（十三）以暴力、威胁等方式拒绝、阻挠环保部门工作人员现场检查的；</w:t>
      </w:r>
    </w:p>
    <w:p w14:paraId="6238A950">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（十四）违反重污染天气应急预案有关规定，对重污染天气响应不力的。</w:t>
      </w:r>
    </w:p>
    <w:p w14:paraId="0BC016CF">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73" w:name="OLE_LINK8"/>
      <w:bookmarkStart w:id="74" w:name="OLE_LINK10"/>
      <w:bookmarkStart w:id="75" w:name="OLE_LINK9"/>
      <w:r>
        <w:rPr>
          <w:rFonts w:hint="eastAsia" w:ascii="宋体" w:hAnsi="宋体" w:eastAsia="宋体" w:cs="宋体"/>
          <w:b/>
          <w:color w:val="auto"/>
          <w:sz w:val="24"/>
          <w:szCs w:val="24"/>
          <w:highlight w:val="none"/>
        </w:rPr>
        <w:t>关于对环境保护领域失信生产经营单位及其有关人员开展联合惩戒的合作备忘录</w:t>
      </w:r>
      <w:bookmarkEnd w:id="73"/>
      <w:bookmarkEnd w:id="74"/>
      <w:bookmarkEnd w:id="75"/>
      <w:r>
        <w:rPr>
          <w:rFonts w:hint="eastAsia" w:ascii="宋体" w:hAnsi="宋体" w:eastAsia="宋体" w:cs="宋体"/>
          <w:b/>
          <w:color w:val="auto"/>
          <w:sz w:val="24"/>
          <w:szCs w:val="24"/>
          <w:highlight w:val="none"/>
        </w:rPr>
        <w:t>》、《</w:t>
      </w:r>
      <w:bookmarkStart w:id="76" w:name="OLE_LINK12"/>
      <w:bookmarkStart w:id="77" w:name="OLE_LINK11"/>
      <w:r>
        <w:rPr>
          <w:rFonts w:hint="eastAsia" w:ascii="宋体" w:hAnsi="宋体" w:eastAsia="宋体" w:cs="宋体"/>
          <w:b/>
          <w:color w:val="auto"/>
          <w:sz w:val="24"/>
          <w:szCs w:val="24"/>
          <w:highlight w:val="none"/>
        </w:rPr>
        <w:t>企业环境信用评价办法（试行）</w:t>
      </w:r>
      <w:bookmarkEnd w:id="76"/>
      <w:bookmarkEnd w:id="77"/>
      <w:r>
        <w:rPr>
          <w:rFonts w:hint="eastAsia" w:ascii="宋体" w:hAnsi="宋体" w:eastAsia="宋体" w:cs="宋体"/>
          <w:b/>
          <w:color w:val="auto"/>
          <w:sz w:val="24"/>
          <w:szCs w:val="24"/>
          <w:highlight w:val="none"/>
        </w:rPr>
        <w:t>》（环发〔2013〕150号）</w:t>
      </w:r>
    </w:p>
    <w:p w14:paraId="4D78B34E">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b/>
          <w:color w:val="auto"/>
          <w:sz w:val="24"/>
          <w:szCs w:val="24"/>
          <w:highlight w:val="none"/>
        </w:rPr>
      </w:pPr>
    </w:p>
    <w:p w14:paraId="044DD00B">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bCs/>
          <w:color w:val="auto"/>
          <w:sz w:val="24"/>
          <w:szCs w:val="24"/>
          <w:highlight w:val="none"/>
        </w:rPr>
        <w:t>公共资源交易领域严重失信行为</w:t>
      </w:r>
    </w:p>
    <w:p w14:paraId="059F8F17">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（一）违反法律规定，必须进行招标的项目而不招标的，将必须进行招标的项目化整为零或者以其他任何方式规避招标的； </w:t>
      </w:r>
    </w:p>
    <w:p w14:paraId="01F465CD">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（二）招标代理机构违反法律规定，泄露应当保密的与招标投标活动有关的情况和资料的，或者与招标人、投标人串通损害 国家利益、社会公共利益或者他人合法权益的；</w:t>
      </w:r>
    </w:p>
    <w:p w14:paraId="6AF7CADC">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（三）招标人以不合理的条件限制或者排斥潜在投标人的，对潜在投标人实行歧视待遇的，强制要求投标人组成联合体共同投标的，或者限制投标人之间竞争的；</w:t>
      </w:r>
    </w:p>
    <w:p w14:paraId="4D97D89C">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（四）依法必须进行招标的项目的招标人向他人透露已获取招标文件的潜在投标人的名称、数量或者可能影响公平竞争的有 关招标投标的其他情况的，或者泄露标底的；</w:t>
      </w:r>
    </w:p>
    <w:p w14:paraId="0F28F1FB">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（五）投标人相互串通投标或者与招标人串通投标的，投标人以向招标人或者评标委员会成员行贿的手段谋取中标的； </w:t>
      </w:r>
    </w:p>
    <w:p w14:paraId="1144919E">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（六）投标人以他人名义投标或者以其他方式弄虚作假，骗取中标的；</w:t>
      </w:r>
    </w:p>
    <w:p w14:paraId="0F063BFE">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（七）依法必须进行招标的项目，招标人违反法律规定，与投标人就投标价格、投标方案等实质性内容进行谈判的；</w:t>
      </w:r>
    </w:p>
    <w:p w14:paraId="1F1E2C97">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8E6308F">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（九）招标人在评标委员会依法推荐的中标候选人以外确定中标人的，依法必须进行招标的项目在所有投标被评标委员会否 决后自行确定中标人的； </w:t>
      </w:r>
    </w:p>
    <w:p w14:paraId="059E6541">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（十）中标人将中标项目转让给他人的，将中标项目肢解后分别转让给他人的，违反法律规定将中标项目的部分主体、关键 性工作分包给他人的，或者分包人再次分包的； </w:t>
      </w:r>
    </w:p>
    <w:p w14:paraId="53E39EDA">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（十一）招标人与中标人不按照招标文件和中标人的投标文件订立合同的，或者招标人、中标人订立背离合同实质性内容的 协议的； </w:t>
      </w:r>
    </w:p>
    <w:p w14:paraId="4EEE2E60">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（十二）中标人不按照与招标人订立的合同履行义务，情节严重的； </w:t>
      </w:r>
    </w:p>
    <w:p w14:paraId="24A32E8C">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FD02ECD">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5CB25040">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（十五）采购人对应当实行集中采购的政府采购项目，不委托集中采购机构实行集中采购的； </w:t>
      </w:r>
    </w:p>
    <w:p w14:paraId="4A16566F">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（十六）采购人、采购代理机构违反法律规定隐匿、销毁应当保存的采购文件或者伪造、变造采购文件的； </w:t>
      </w:r>
    </w:p>
    <w:p w14:paraId="1AEA57FF">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56ED8CD3">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（十八）疫苗生产企业向县级疾病预防控制机构以外的单位或者个人销售第二类疫苗的； </w:t>
      </w:r>
    </w:p>
    <w:p w14:paraId="25FE718C">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（十九）存在其他违反公共资源交易法律法规行为的。</w:t>
      </w:r>
    </w:p>
    <w:p w14:paraId="4B9FCD19">
      <w:pPr>
        <w:pageBreakBefore w:val="0"/>
        <w:widowControl/>
        <w:kinsoku w:val="0"/>
        <w:overflowPunct/>
        <w:topLinePunct w:val="0"/>
        <w:autoSpaceDE w:val="0"/>
        <w:autoSpaceDN w:val="0"/>
        <w:bidi w:val="0"/>
        <w:adjustRightInd w:val="0"/>
        <w:snapToGrid w:val="0"/>
        <w:spacing w:line="440" w:lineRule="exact"/>
        <w:ind w:firstLine="766" w:firstLineChars="318"/>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78" w:name="OLE_LINK13"/>
      <w:bookmarkStart w:id="79" w:name="OLE_LINK14"/>
      <w:r>
        <w:rPr>
          <w:rFonts w:hint="eastAsia" w:ascii="宋体" w:hAnsi="宋体" w:eastAsia="宋体" w:cs="宋体"/>
          <w:b/>
          <w:color w:val="auto"/>
          <w:sz w:val="24"/>
          <w:szCs w:val="24"/>
          <w:highlight w:val="none"/>
        </w:rPr>
        <w:t>关于对公共资源交易领域严重失信主体开展联合惩戒的备忘录</w:t>
      </w:r>
      <w:bookmarkEnd w:id="78"/>
      <w:bookmarkEnd w:id="79"/>
      <w:r>
        <w:rPr>
          <w:rFonts w:hint="eastAsia" w:ascii="宋体" w:hAnsi="宋体" w:eastAsia="宋体" w:cs="宋体"/>
          <w:b/>
          <w:color w:val="auto"/>
          <w:sz w:val="24"/>
          <w:szCs w:val="24"/>
          <w:highlight w:val="none"/>
        </w:rPr>
        <w:t>》（发改法规〔2018〕457号）</w:t>
      </w:r>
    </w:p>
    <w:p w14:paraId="720AA4FA">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p>
    <w:p w14:paraId="04E239C4">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社会保险领域严重失信行为</w:t>
      </w:r>
    </w:p>
    <w:p w14:paraId="0BB35F2C">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（一）用人单位未按相关规定参加社会保险且拒不整改的； </w:t>
      </w:r>
    </w:p>
    <w:p w14:paraId="3BD5F630">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（二）用人单位未如实申报社会保险缴费基数且拒不整改的； </w:t>
      </w:r>
    </w:p>
    <w:p w14:paraId="7A422674">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（三）应缴纳社会保险费却拒不缴纳的； </w:t>
      </w:r>
    </w:p>
    <w:p w14:paraId="447E22F1">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（四）隐匿、转移、侵占、挪用社会保险费款、基金或者违规投资运营</w:t>
      </w:r>
      <w:r>
        <w:rPr>
          <w:rFonts w:hint="eastAsia" w:ascii="宋体" w:hAnsi="宋体" w:eastAsia="宋体" w:cs="宋体"/>
          <w:color w:val="auto"/>
          <w:sz w:val="24"/>
          <w:szCs w:val="24"/>
          <w:highlight w:val="none"/>
          <w:lang w:val="en-US" w:eastAsia="zh-CN"/>
        </w:rPr>
        <w:t>的;</w:t>
      </w:r>
    </w:p>
    <w:p w14:paraId="74E67321">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（五）以欺诈、伪造证明材料或者其他手段参加、申报社会保险和骗取社会保险基金支出或社会保险待遇的； </w:t>
      </w:r>
    </w:p>
    <w:p w14:paraId="1A2DFEE2">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（六）非法获取、出售或变相交易社会保险个人权益数据的； </w:t>
      </w:r>
    </w:p>
    <w:p w14:paraId="1301ABD9">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（七）社会保险服务机构违反服务协议或相关规定的； </w:t>
      </w:r>
    </w:p>
    <w:p w14:paraId="6F9C0354">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2FD6F6C0">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（九）其他违反法律法规规定的。</w:t>
      </w:r>
    </w:p>
    <w:p w14:paraId="27EDDF52">
      <w:pPr>
        <w:pageBreakBefore w:val="0"/>
        <w:widowControl/>
        <w:kinsoku w:val="0"/>
        <w:overflowPunct/>
        <w:topLinePunct w:val="0"/>
        <w:autoSpaceDE w:val="0"/>
        <w:autoSpaceDN w:val="0"/>
        <w:bidi w:val="0"/>
        <w:adjustRightInd w:val="0"/>
        <w:snapToGrid w:val="0"/>
        <w:spacing w:line="440" w:lineRule="exact"/>
        <w:ind w:firstLine="472" w:firstLineChars="196"/>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80" w:name="OLE_LINK16"/>
      <w:bookmarkStart w:id="81" w:name="OLE_LINK15"/>
      <w:r>
        <w:rPr>
          <w:rFonts w:hint="eastAsia" w:ascii="宋体" w:hAnsi="宋体" w:eastAsia="宋体" w:cs="宋体"/>
          <w:b/>
          <w:color w:val="auto"/>
          <w:sz w:val="24"/>
          <w:szCs w:val="24"/>
          <w:highlight w:val="none"/>
        </w:rPr>
        <w:t>关于对社会保险领域严重失信企业及其有关人员实施联合惩戒的合作备忘录</w:t>
      </w:r>
      <w:bookmarkEnd w:id="80"/>
      <w:bookmarkEnd w:id="81"/>
      <w:r>
        <w:rPr>
          <w:rFonts w:hint="eastAsia" w:ascii="宋体" w:hAnsi="宋体" w:eastAsia="宋体" w:cs="宋体"/>
          <w:b/>
          <w:color w:val="auto"/>
          <w:sz w:val="24"/>
          <w:szCs w:val="24"/>
          <w:highlight w:val="none"/>
        </w:rPr>
        <w:t>》（发改财金〔2018〕1704号）</w:t>
      </w:r>
    </w:p>
    <w:p w14:paraId="1C685B1A">
      <w:pPr>
        <w:pageBreakBefore w:val="0"/>
        <w:widowControl/>
        <w:kinsoku w:val="0"/>
        <w:overflowPunct/>
        <w:topLinePunct w:val="0"/>
        <w:autoSpaceDE w:val="0"/>
        <w:autoSpaceDN w:val="0"/>
        <w:bidi w:val="0"/>
        <w:adjustRightInd w:val="0"/>
        <w:snapToGrid w:val="0"/>
        <w:spacing w:line="44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A60E74A">
      <w:pPr>
        <w:pageBreakBefore w:val="0"/>
        <w:widowControl/>
        <w:kinsoku w:val="0"/>
        <w:overflowPunct/>
        <w:topLinePunct w:val="0"/>
        <w:autoSpaceDE w:val="0"/>
        <w:autoSpaceDN w:val="0"/>
        <w:bidi w:val="0"/>
        <w:adjustRightInd w:val="0"/>
        <w:snapToGrid w:val="0"/>
        <w:spacing w:line="440" w:lineRule="exact"/>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五、建筑市场领域</w:t>
      </w:r>
      <w:r>
        <w:rPr>
          <w:rFonts w:hint="eastAsia" w:ascii="宋体" w:hAnsi="宋体" w:eastAsia="宋体" w:cs="宋体"/>
          <w:b/>
          <w:bCs/>
          <w:color w:val="auto"/>
          <w:sz w:val="24"/>
          <w:szCs w:val="24"/>
          <w:highlight w:val="none"/>
        </w:rPr>
        <w:t>严重失信行为</w:t>
      </w:r>
    </w:p>
    <w:p w14:paraId="759C42B0">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（一）利用虚假材料、以欺骗手段取得企业资质的；</w:t>
      </w:r>
    </w:p>
    <w:p w14:paraId="1212A309">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（二）发生转包、出借资质，受到行政处罚的；</w:t>
      </w:r>
    </w:p>
    <w:p w14:paraId="5AE2BB05">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（三）发生重大及以上工程质量安全事故，或1年内累计发生2次及以上较大工程质量安全事故，或发生性质恶劣、危害性严重、社会影响大的较大工程质量安全事故，受到行政处罚的；</w:t>
      </w:r>
    </w:p>
    <w:p w14:paraId="7193D453">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（四）经法院判决或仲裁机构裁决，认定为拖欠工程款,且拒不履行生效法律文书确定的义务的。</w:t>
      </w:r>
    </w:p>
    <w:p w14:paraId="4839CD12">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各级住房城乡建设主管部门应当参照建筑市场主体“黑名单”，对被人力资源社会保障行政部门列入拖欠农民工工资“黑名单”的建筑市场各方主体加强监管。</w:t>
      </w:r>
    </w:p>
    <w:p w14:paraId="61F96679">
      <w:pPr>
        <w:pageBreakBefore w:val="0"/>
        <w:widowControl/>
        <w:kinsoku w:val="0"/>
        <w:overflowPunct/>
        <w:topLinePunct w:val="0"/>
        <w:autoSpaceDE w:val="0"/>
        <w:autoSpaceDN w:val="0"/>
        <w:bidi w:val="0"/>
        <w:adjustRightInd w:val="0"/>
        <w:snapToGrid w:val="0"/>
        <w:spacing w:line="440" w:lineRule="exact"/>
        <w:ind w:firstLine="482"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82" w:name="OLE_LINK18"/>
      <w:bookmarkStart w:id="83" w:name="OLE_LINK17"/>
      <w:r>
        <w:rPr>
          <w:rFonts w:hint="eastAsia" w:ascii="宋体" w:hAnsi="宋体" w:eastAsia="宋体" w:cs="宋体"/>
          <w:b/>
          <w:color w:val="auto"/>
          <w:sz w:val="24"/>
          <w:szCs w:val="24"/>
          <w:highlight w:val="none"/>
        </w:rPr>
        <w:t>建筑市场信用管理暂行办法</w:t>
      </w:r>
      <w:bookmarkEnd w:id="82"/>
      <w:bookmarkEnd w:id="83"/>
      <w:r>
        <w:rPr>
          <w:rFonts w:hint="eastAsia" w:ascii="宋体" w:hAnsi="宋体" w:eastAsia="宋体" w:cs="宋体"/>
          <w:b/>
          <w:color w:val="auto"/>
          <w:sz w:val="24"/>
          <w:szCs w:val="24"/>
          <w:highlight w:val="none"/>
        </w:rPr>
        <w:t>》（建市〔2017〕241号）</w:t>
      </w:r>
    </w:p>
    <w:p w14:paraId="5ABC3CBD">
      <w:pPr>
        <w:pageBreakBefore w:val="0"/>
        <w:widowControl/>
        <w:kinsoku w:val="0"/>
        <w:overflowPunct/>
        <w:topLinePunct w:val="0"/>
        <w:autoSpaceDE w:val="0"/>
        <w:autoSpaceDN w:val="0"/>
        <w:bidi w:val="0"/>
        <w:adjustRightInd w:val="0"/>
        <w:snapToGrid w:val="0"/>
        <w:spacing w:line="440" w:lineRule="exact"/>
        <w:outlineLvl w:val="9"/>
        <w:rPr>
          <w:rFonts w:hint="eastAsia" w:ascii="宋体" w:hAnsi="宋体" w:eastAsia="宋体" w:cs="宋体"/>
          <w:b/>
          <w:color w:val="auto"/>
          <w:sz w:val="24"/>
          <w:szCs w:val="24"/>
          <w:highlight w:val="none"/>
        </w:rPr>
      </w:pPr>
    </w:p>
    <w:p w14:paraId="3B02F05D">
      <w:pPr>
        <w:pageBreakBefore w:val="0"/>
        <w:widowControl/>
        <w:kinsoku w:val="0"/>
        <w:overflowPunct/>
        <w:topLinePunct w:val="0"/>
        <w:autoSpaceDE w:val="0"/>
        <w:autoSpaceDN w:val="0"/>
        <w:bidi w:val="0"/>
        <w:adjustRightInd w:val="0"/>
        <w:snapToGrid w:val="0"/>
        <w:spacing w:line="44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bookmarkStart w:id="84" w:name="OLE_LINK20"/>
      <w:bookmarkStart w:id="85" w:name="OLE_LINK19"/>
      <w:r>
        <w:rPr>
          <w:rFonts w:hint="eastAsia" w:ascii="宋体" w:hAnsi="宋体" w:eastAsia="宋体" w:cs="宋体"/>
          <w:b/>
          <w:color w:val="auto"/>
          <w:sz w:val="24"/>
          <w:szCs w:val="24"/>
          <w:highlight w:val="none"/>
        </w:rPr>
        <w:t>政府采购严重失信行为</w:t>
      </w:r>
      <w:bookmarkEnd w:id="84"/>
      <w:bookmarkEnd w:id="85"/>
    </w:p>
    <w:p w14:paraId="1B748037">
      <w:pPr>
        <w:pageBreakBefore w:val="0"/>
        <w:widowControl/>
        <w:kinsoku w:val="0"/>
        <w:overflowPunct/>
        <w:topLinePunct w:val="0"/>
        <w:autoSpaceDE w:val="0"/>
        <w:autoSpaceDN w:val="0"/>
        <w:bidi w:val="0"/>
        <w:adjustRightInd w:val="0"/>
        <w:snapToGrid w:val="0"/>
        <w:spacing w:line="440" w:lineRule="exact"/>
        <w:ind w:firstLine="615"/>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供应商、采购代理机构在三年内受到财政部门作出下列情形之一的行政处罚，列入政府采购严重违法失信行为记录名单。</w:t>
      </w:r>
    </w:p>
    <w:p w14:paraId="7FD157F7">
      <w:pPr>
        <w:pageBreakBefore w:val="0"/>
        <w:widowControl/>
        <w:kinsoku w:val="0"/>
        <w:overflowPunct/>
        <w:topLinePunct w:val="0"/>
        <w:autoSpaceDE w:val="0"/>
        <w:autoSpaceDN w:val="0"/>
        <w:bidi w:val="0"/>
        <w:adjustRightInd w:val="0"/>
        <w:snapToGrid w:val="0"/>
        <w:spacing w:line="440" w:lineRule="exact"/>
        <w:ind w:firstLine="615"/>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（一）三万元以上罚款；</w:t>
      </w:r>
    </w:p>
    <w:p w14:paraId="4E44838A">
      <w:pPr>
        <w:pageBreakBefore w:val="0"/>
        <w:widowControl/>
        <w:kinsoku w:val="0"/>
        <w:overflowPunct/>
        <w:topLinePunct w:val="0"/>
        <w:autoSpaceDE w:val="0"/>
        <w:autoSpaceDN w:val="0"/>
        <w:bidi w:val="0"/>
        <w:adjustRightInd w:val="0"/>
        <w:snapToGrid w:val="0"/>
        <w:spacing w:line="440" w:lineRule="exact"/>
        <w:ind w:firstLine="615"/>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（二）在一至三年内禁止参加政府采购活动（处罚期限届满的除外）</w:t>
      </w:r>
      <w:r>
        <w:rPr>
          <w:rFonts w:hint="eastAsia" w:ascii="宋体" w:hAnsi="宋体" w:eastAsia="宋体" w:cs="宋体"/>
          <w:color w:val="auto"/>
          <w:sz w:val="24"/>
          <w:szCs w:val="24"/>
          <w:highlight w:val="none"/>
          <w:lang w:val="en-US" w:eastAsia="zh-CN"/>
        </w:rPr>
        <w:t>;</w:t>
      </w:r>
    </w:p>
    <w:p w14:paraId="58BCD77C">
      <w:pPr>
        <w:pageBreakBefore w:val="0"/>
        <w:widowControl/>
        <w:kinsoku w:val="0"/>
        <w:overflowPunct/>
        <w:topLinePunct w:val="0"/>
        <w:autoSpaceDE w:val="0"/>
        <w:autoSpaceDN w:val="0"/>
        <w:bidi w:val="0"/>
        <w:adjustRightInd w:val="0"/>
        <w:snapToGrid w:val="0"/>
        <w:spacing w:line="440" w:lineRule="exact"/>
        <w:ind w:firstLine="615"/>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（三）在一至三年内禁止代理政府采购业务（处罚期限届满的除外）</w:t>
      </w:r>
      <w:r>
        <w:rPr>
          <w:rFonts w:hint="eastAsia" w:ascii="宋体" w:hAnsi="宋体" w:eastAsia="宋体" w:cs="宋体"/>
          <w:color w:val="auto"/>
          <w:sz w:val="24"/>
          <w:szCs w:val="24"/>
          <w:highlight w:val="none"/>
          <w:lang w:val="en-US" w:eastAsia="zh-CN"/>
        </w:rPr>
        <w:t>;</w:t>
      </w:r>
    </w:p>
    <w:p w14:paraId="1013774B">
      <w:pPr>
        <w:pageBreakBefore w:val="0"/>
        <w:widowControl/>
        <w:kinsoku w:val="0"/>
        <w:overflowPunct/>
        <w:topLinePunct w:val="0"/>
        <w:autoSpaceDE w:val="0"/>
        <w:autoSpaceDN w:val="0"/>
        <w:bidi w:val="0"/>
        <w:adjustRightInd w:val="0"/>
        <w:snapToGrid w:val="0"/>
        <w:spacing w:line="440" w:lineRule="exact"/>
        <w:ind w:firstLine="61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（四）撤销政府采购代理机构资格（仅针对《政府采购法》第78条修改前作出的处罚决定）。</w:t>
      </w:r>
    </w:p>
    <w:p w14:paraId="21FE2689">
      <w:pPr>
        <w:pageBreakBefore w:val="0"/>
        <w:widowControl/>
        <w:kinsoku w:val="0"/>
        <w:overflowPunct/>
        <w:topLinePunct w:val="0"/>
        <w:autoSpaceDE w:val="0"/>
        <w:autoSpaceDN w:val="0"/>
        <w:bidi w:val="0"/>
        <w:adjustRightInd w:val="0"/>
        <w:snapToGrid w:val="0"/>
        <w:spacing w:line="440" w:lineRule="exac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依据：《关于报送政府采购严重违法失信行为信息记录的通知》（财办库〔2014〕526号）</w:t>
      </w:r>
    </w:p>
    <w:p w14:paraId="0253003B">
      <w:pPr>
        <w:pageBreakBefore w:val="0"/>
        <w:widowControl/>
        <w:kinsoku w:val="0"/>
        <w:overflowPunct/>
        <w:topLinePunct w:val="0"/>
        <w:autoSpaceDE w:val="0"/>
        <w:autoSpaceDN w:val="0"/>
        <w:bidi w:val="0"/>
        <w:adjustRightInd w:val="0"/>
        <w:snapToGrid w:val="0"/>
        <w:spacing w:line="440" w:lineRule="exact"/>
        <w:outlineLvl w:val="9"/>
        <w:rPr>
          <w:rFonts w:hint="eastAsia" w:ascii="宋体" w:hAnsi="宋体" w:eastAsia="宋体" w:cs="宋体"/>
          <w:b/>
          <w:color w:val="auto"/>
          <w:sz w:val="24"/>
          <w:szCs w:val="24"/>
          <w:highlight w:val="none"/>
        </w:rPr>
      </w:pPr>
    </w:p>
    <w:p w14:paraId="2A9844E4">
      <w:pPr>
        <w:pageBreakBefore w:val="0"/>
        <w:widowControl/>
        <w:kinsoku w:val="0"/>
        <w:overflowPunct/>
        <w:topLinePunct w:val="0"/>
        <w:autoSpaceDE w:val="0"/>
        <w:autoSpaceDN w:val="0"/>
        <w:bidi w:val="0"/>
        <w:adjustRightInd w:val="0"/>
        <w:snapToGrid w:val="0"/>
        <w:spacing w:line="440" w:lineRule="exact"/>
        <w:ind w:firstLine="615"/>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未列出的其他类别严重失信行为，由招标人（代理机构）根据各类别行业主管部门下发的联合惩戒文件进行判断。</w:t>
      </w:r>
    </w:p>
    <w:p w14:paraId="4E92E37E">
      <w:pPr>
        <w:outlineLvl w:val="9"/>
        <w:rPr>
          <w:rFonts w:ascii="Arial"/>
          <w:color w:val="auto"/>
          <w:sz w:val="21"/>
          <w:highlight w:val="none"/>
        </w:rPr>
      </w:pPr>
    </w:p>
    <w:p w14:paraId="5C7B8F5C">
      <w:pPr>
        <w:spacing w:line="440" w:lineRule="exact"/>
        <w:jc w:val="both"/>
        <w:outlineLvl w:val="9"/>
        <w:rPr>
          <w:rFonts w:hint="eastAsia" w:ascii="宋体" w:hAnsi="宋体" w:cs="宋体"/>
          <w:b/>
          <w:color w:val="auto"/>
          <w:sz w:val="32"/>
          <w:szCs w:val="32"/>
          <w:highlight w:val="none"/>
        </w:rPr>
      </w:pPr>
    </w:p>
    <w:p w14:paraId="7E042E40">
      <w:pPr>
        <w:spacing w:line="440" w:lineRule="exact"/>
        <w:jc w:val="both"/>
        <w:outlineLvl w:val="9"/>
        <w:rPr>
          <w:rFonts w:hint="eastAsia" w:ascii="宋体" w:hAnsi="宋体" w:cs="宋体"/>
          <w:b/>
          <w:color w:val="auto"/>
          <w:sz w:val="32"/>
          <w:szCs w:val="32"/>
          <w:highlight w:val="none"/>
        </w:rPr>
      </w:pPr>
    </w:p>
    <w:p w14:paraId="19F836F9">
      <w:pPr>
        <w:spacing w:line="440" w:lineRule="exact"/>
        <w:jc w:val="both"/>
        <w:outlineLvl w:val="9"/>
        <w:rPr>
          <w:rFonts w:hint="eastAsia" w:ascii="宋体" w:hAnsi="宋体" w:cs="宋体"/>
          <w:b/>
          <w:color w:val="auto"/>
          <w:sz w:val="32"/>
          <w:szCs w:val="32"/>
          <w:highlight w:val="none"/>
        </w:rPr>
      </w:pPr>
    </w:p>
    <w:p w14:paraId="761B711B">
      <w:pPr>
        <w:spacing w:line="440" w:lineRule="exact"/>
        <w:jc w:val="both"/>
        <w:outlineLvl w:val="9"/>
        <w:rPr>
          <w:rFonts w:hint="eastAsia" w:ascii="宋体" w:hAnsi="宋体" w:cs="宋体"/>
          <w:b/>
          <w:color w:val="auto"/>
          <w:sz w:val="32"/>
          <w:szCs w:val="32"/>
          <w:highlight w:val="none"/>
        </w:rPr>
      </w:pPr>
    </w:p>
    <w:p w14:paraId="420A9815">
      <w:pPr>
        <w:spacing w:line="440" w:lineRule="exact"/>
        <w:jc w:val="both"/>
        <w:outlineLvl w:val="0"/>
        <w:rPr>
          <w:rFonts w:hint="eastAsia" w:ascii="宋体" w:hAnsi="宋体" w:cs="宋体"/>
          <w:b/>
          <w:color w:val="auto"/>
          <w:sz w:val="32"/>
          <w:szCs w:val="32"/>
          <w:highlight w:val="none"/>
        </w:rPr>
      </w:pPr>
    </w:p>
    <w:p w14:paraId="069273AD">
      <w:pPr>
        <w:pStyle w:val="30"/>
        <w:ind w:left="0" w:leftChars="0" w:firstLine="0" w:firstLineChars="0"/>
        <w:rPr>
          <w:rFonts w:hint="eastAsia" w:asciiTheme="minorEastAsia" w:hAnsiTheme="minorEastAsia" w:eastAsiaTheme="minorEastAsia"/>
          <w:color w:val="auto"/>
          <w:sz w:val="24"/>
          <w:highlight w:val="none"/>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3FBE">
    <w:pPr>
      <w:pStyle w:val="14"/>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C5963">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46FA0">
                          <w:pPr>
                            <w:pStyle w:val="1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BvR4rAgAAVQQAAA4AAABkcnMvZTJvRG9jLnhtbK1UzW4TMRC+I/EO&#10;lu900yCqKMqmCo2CkCJaqSDOjtebXcl/sifdDQ8Ab8CJC3eeK8/B5/1JUeHQAxfv2DP+Zr5vxru4&#10;bo1mDyrE2tmcX15MOFNWuqK2+5x/+rh5NeMskrCF0M6qnB9V5NfLly8WjZ+rqaucLlRgALFx3vic&#10;V0R+nmVRVsqIeOG8snCWLhhB2IZ9VgTRAN3obDqZXGWNC4UPTqoYcbrunXxADM8BdGVZS7V28mCU&#10;pR41KC0IlGJV+8iXXbVlqSTdlmVUxHTOwZS6FUlg79KaLRdivg/CV7UcShDPKeEJJyNqi6RnqLUg&#10;wQ6h/gvK1DK46Eq6kM5kPZFOEbC4nDzR5r4SXnVcIHX0Z9Hj/4OVHx7uAqsLTAJnVhg0/PT92+nH&#10;r9PPr2ya5Gl8nCPq3iOO2reuTaHDecRhYt2WwaQv+DD4Ie7xLK5qicl0aTadzSZwSfjGDXCyx+s+&#10;RHqnnGHJyHlA9zpRxcM2Uh86hqRs1m1qrXEu5tqyJudXr99MugtnD8C1RY5Eoi82WdTu2oHBzhVH&#10;EAuun4zo5aZG8q2IdCcCRgEF47HQLZZSOyRxg8VZ5cKXf52neHQIXs4ajFbOLV4SZ/q9RecASKMR&#10;RmM3GvZgbhxmFd1ALZ2JC4H0aJbBmc94QauUAy5hJTLlnEbzhvrxxguUarXqgjBrXtDW3nuZoJNi&#10;0a8OBAE7XZMovRKDVpi2rjPDy0jj/Oe+i3r8G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mQb0eKwIAAFUEAAAOAAAAAAAAAAEAIAAAAB8BAABkcnMvZTJvRG9jLnhtbFBLBQYAAAAABgAG&#10;AFkBAAC8BQAAAAA=&#10;">
              <v:fill on="f" focussize="0,0"/>
              <v:stroke on="f" weight="0.5pt"/>
              <v:imagedata o:title=""/>
              <o:lock v:ext="edit" aspectratio="f"/>
              <v:textbox inset="0mm,0mm,0mm,0mm" style="mso-fit-shape-to-text:t;">
                <w:txbxContent>
                  <w:p w14:paraId="4D346FA0">
                    <w:pPr>
                      <w:pStyle w:val="1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FA679">
    <w:pPr>
      <w:pStyle w:val="16"/>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D1082">
    <w:pPr>
      <w:pStyle w:val="16"/>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627245FE"/>
    <w:multiLevelType w:val="singleLevel"/>
    <w:tmpl w:val="627245FE"/>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B1BF9"/>
    <w:rsid w:val="01E93A1B"/>
    <w:rsid w:val="0214602E"/>
    <w:rsid w:val="03486B27"/>
    <w:rsid w:val="040A094E"/>
    <w:rsid w:val="056F201D"/>
    <w:rsid w:val="05B664D4"/>
    <w:rsid w:val="064B485A"/>
    <w:rsid w:val="068C65C4"/>
    <w:rsid w:val="07076C01"/>
    <w:rsid w:val="071C12AC"/>
    <w:rsid w:val="07A934B3"/>
    <w:rsid w:val="07EB6287"/>
    <w:rsid w:val="0806421B"/>
    <w:rsid w:val="09747B3E"/>
    <w:rsid w:val="0980799C"/>
    <w:rsid w:val="09944B8E"/>
    <w:rsid w:val="0A6A18DB"/>
    <w:rsid w:val="0A975B48"/>
    <w:rsid w:val="0AEF3828"/>
    <w:rsid w:val="0B406381"/>
    <w:rsid w:val="0BB452AA"/>
    <w:rsid w:val="0BBB665B"/>
    <w:rsid w:val="0CAA6E21"/>
    <w:rsid w:val="0DF04D08"/>
    <w:rsid w:val="0EEA6FC1"/>
    <w:rsid w:val="0EEF3211"/>
    <w:rsid w:val="0F790928"/>
    <w:rsid w:val="10CD72BB"/>
    <w:rsid w:val="112E6AAD"/>
    <w:rsid w:val="12197477"/>
    <w:rsid w:val="12380A2C"/>
    <w:rsid w:val="131B5CD3"/>
    <w:rsid w:val="13776448"/>
    <w:rsid w:val="1466407E"/>
    <w:rsid w:val="14834E28"/>
    <w:rsid w:val="148E7D65"/>
    <w:rsid w:val="14BA613B"/>
    <w:rsid w:val="14FC608F"/>
    <w:rsid w:val="15231BF9"/>
    <w:rsid w:val="15441E8D"/>
    <w:rsid w:val="15C4546D"/>
    <w:rsid w:val="19526F10"/>
    <w:rsid w:val="1A064976"/>
    <w:rsid w:val="1A3108B0"/>
    <w:rsid w:val="1A3B68AA"/>
    <w:rsid w:val="1A3E1C1E"/>
    <w:rsid w:val="1B6F4F40"/>
    <w:rsid w:val="1C141836"/>
    <w:rsid w:val="1C76537D"/>
    <w:rsid w:val="1E6B6A14"/>
    <w:rsid w:val="1EEF00B4"/>
    <w:rsid w:val="20550D9A"/>
    <w:rsid w:val="218E2416"/>
    <w:rsid w:val="226915FE"/>
    <w:rsid w:val="241804A5"/>
    <w:rsid w:val="24B97929"/>
    <w:rsid w:val="24D632D7"/>
    <w:rsid w:val="25BA7C7E"/>
    <w:rsid w:val="27D65DBA"/>
    <w:rsid w:val="285F40CA"/>
    <w:rsid w:val="289E1AF0"/>
    <w:rsid w:val="28BE7A85"/>
    <w:rsid w:val="28C01ECB"/>
    <w:rsid w:val="29BF71E3"/>
    <w:rsid w:val="29D6387F"/>
    <w:rsid w:val="2A127B63"/>
    <w:rsid w:val="2A451A6C"/>
    <w:rsid w:val="2AAA4765"/>
    <w:rsid w:val="2AC21606"/>
    <w:rsid w:val="2B062266"/>
    <w:rsid w:val="2B7E7608"/>
    <w:rsid w:val="2B7F04E9"/>
    <w:rsid w:val="2B8B554A"/>
    <w:rsid w:val="2D2C4E0A"/>
    <w:rsid w:val="2D496D68"/>
    <w:rsid w:val="2E7A48DE"/>
    <w:rsid w:val="2EBA5177"/>
    <w:rsid w:val="2EDC3ED8"/>
    <w:rsid w:val="2F104B00"/>
    <w:rsid w:val="2F6351B4"/>
    <w:rsid w:val="2FC86126"/>
    <w:rsid w:val="2FCF199E"/>
    <w:rsid w:val="30483E83"/>
    <w:rsid w:val="30BF3991"/>
    <w:rsid w:val="3111619A"/>
    <w:rsid w:val="31935552"/>
    <w:rsid w:val="31B139DC"/>
    <w:rsid w:val="32497AF3"/>
    <w:rsid w:val="343C0775"/>
    <w:rsid w:val="353B47C2"/>
    <w:rsid w:val="356C50EC"/>
    <w:rsid w:val="36137E45"/>
    <w:rsid w:val="36376E0A"/>
    <w:rsid w:val="3700166C"/>
    <w:rsid w:val="376D39F8"/>
    <w:rsid w:val="379A1012"/>
    <w:rsid w:val="38694EE9"/>
    <w:rsid w:val="38C369F1"/>
    <w:rsid w:val="394A0CFB"/>
    <w:rsid w:val="39DD6043"/>
    <w:rsid w:val="3A6818FA"/>
    <w:rsid w:val="3B365CC9"/>
    <w:rsid w:val="3B46294E"/>
    <w:rsid w:val="3B9A7B88"/>
    <w:rsid w:val="3BD333EF"/>
    <w:rsid w:val="3D292CF7"/>
    <w:rsid w:val="3D2C7AC8"/>
    <w:rsid w:val="3D855D12"/>
    <w:rsid w:val="3D8B42FF"/>
    <w:rsid w:val="3DDA2813"/>
    <w:rsid w:val="3DE86C4C"/>
    <w:rsid w:val="3DF36A6E"/>
    <w:rsid w:val="3EBA1EE9"/>
    <w:rsid w:val="3F312C16"/>
    <w:rsid w:val="3F792F1E"/>
    <w:rsid w:val="3FBD063E"/>
    <w:rsid w:val="3FBD419A"/>
    <w:rsid w:val="40791AF0"/>
    <w:rsid w:val="40824826"/>
    <w:rsid w:val="40E63923"/>
    <w:rsid w:val="41B33AA7"/>
    <w:rsid w:val="43501882"/>
    <w:rsid w:val="43A91E5B"/>
    <w:rsid w:val="449E0D39"/>
    <w:rsid w:val="45E32B26"/>
    <w:rsid w:val="463A3650"/>
    <w:rsid w:val="46461627"/>
    <w:rsid w:val="469F0116"/>
    <w:rsid w:val="475259B7"/>
    <w:rsid w:val="488302AE"/>
    <w:rsid w:val="48831CF9"/>
    <w:rsid w:val="49024C9C"/>
    <w:rsid w:val="495F62C2"/>
    <w:rsid w:val="49B1408D"/>
    <w:rsid w:val="4A7D4FD2"/>
    <w:rsid w:val="4A913C9A"/>
    <w:rsid w:val="4B1F70AC"/>
    <w:rsid w:val="4B240F94"/>
    <w:rsid w:val="4C0832E5"/>
    <w:rsid w:val="4C0D46FC"/>
    <w:rsid w:val="4C3C565C"/>
    <w:rsid w:val="4CCC79C7"/>
    <w:rsid w:val="4D7555C7"/>
    <w:rsid w:val="4EAE6DA0"/>
    <w:rsid w:val="4F6665FD"/>
    <w:rsid w:val="4FE617D9"/>
    <w:rsid w:val="5016514B"/>
    <w:rsid w:val="50BD4DF3"/>
    <w:rsid w:val="50FC1A26"/>
    <w:rsid w:val="5137480A"/>
    <w:rsid w:val="51723664"/>
    <w:rsid w:val="51CB1C78"/>
    <w:rsid w:val="51FD6A51"/>
    <w:rsid w:val="526B680A"/>
    <w:rsid w:val="52836F71"/>
    <w:rsid w:val="52D26B02"/>
    <w:rsid w:val="537D3F15"/>
    <w:rsid w:val="541A5D30"/>
    <w:rsid w:val="54D133A1"/>
    <w:rsid w:val="555836E3"/>
    <w:rsid w:val="55C1559C"/>
    <w:rsid w:val="55F068CD"/>
    <w:rsid w:val="566C3136"/>
    <w:rsid w:val="568D04F2"/>
    <w:rsid w:val="581D136C"/>
    <w:rsid w:val="5A526582"/>
    <w:rsid w:val="5A5F5C77"/>
    <w:rsid w:val="5A711A0D"/>
    <w:rsid w:val="5B1613E4"/>
    <w:rsid w:val="5B78003B"/>
    <w:rsid w:val="5BC11A60"/>
    <w:rsid w:val="5C7A4D54"/>
    <w:rsid w:val="5CD23B73"/>
    <w:rsid w:val="5F127819"/>
    <w:rsid w:val="60350ED3"/>
    <w:rsid w:val="60B72AEE"/>
    <w:rsid w:val="61025188"/>
    <w:rsid w:val="61057D5F"/>
    <w:rsid w:val="611D2084"/>
    <w:rsid w:val="614D4977"/>
    <w:rsid w:val="63C60FC0"/>
    <w:rsid w:val="64BA3D7A"/>
    <w:rsid w:val="64F179BC"/>
    <w:rsid w:val="655C66C3"/>
    <w:rsid w:val="665704D3"/>
    <w:rsid w:val="66A852F5"/>
    <w:rsid w:val="66AB0941"/>
    <w:rsid w:val="67C065A4"/>
    <w:rsid w:val="67D359C9"/>
    <w:rsid w:val="68042537"/>
    <w:rsid w:val="687A681D"/>
    <w:rsid w:val="68C46CA4"/>
    <w:rsid w:val="68FE36DD"/>
    <w:rsid w:val="694E60FC"/>
    <w:rsid w:val="6A256904"/>
    <w:rsid w:val="6B656832"/>
    <w:rsid w:val="6C675CE6"/>
    <w:rsid w:val="6D4F4321"/>
    <w:rsid w:val="6DF41B82"/>
    <w:rsid w:val="6DFF7360"/>
    <w:rsid w:val="6E7A5F73"/>
    <w:rsid w:val="6EE90F9D"/>
    <w:rsid w:val="6FD703B4"/>
    <w:rsid w:val="6FD74228"/>
    <w:rsid w:val="7021106F"/>
    <w:rsid w:val="70D50A94"/>
    <w:rsid w:val="715C2F64"/>
    <w:rsid w:val="71633091"/>
    <w:rsid w:val="726B627F"/>
    <w:rsid w:val="73081CA5"/>
    <w:rsid w:val="739F58FB"/>
    <w:rsid w:val="74201F7D"/>
    <w:rsid w:val="7487762D"/>
    <w:rsid w:val="74C33AA4"/>
    <w:rsid w:val="75210D7A"/>
    <w:rsid w:val="75385498"/>
    <w:rsid w:val="75A30A62"/>
    <w:rsid w:val="75F37776"/>
    <w:rsid w:val="76BC207F"/>
    <w:rsid w:val="76EB4904"/>
    <w:rsid w:val="77645DCD"/>
    <w:rsid w:val="777378F5"/>
    <w:rsid w:val="777A2D3C"/>
    <w:rsid w:val="79074B81"/>
    <w:rsid w:val="794F0939"/>
    <w:rsid w:val="79AF0FCA"/>
    <w:rsid w:val="79C42366"/>
    <w:rsid w:val="7A2517BB"/>
    <w:rsid w:val="7A3929EF"/>
    <w:rsid w:val="7AF9279C"/>
    <w:rsid w:val="7CC51958"/>
    <w:rsid w:val="7CD53DF9"/>
    <w:rsid w:val="7D097C86"/>
    <w:rsid w:val="7E2936C3"/>
    <w:rsid w:val="7E6411B9"/>
    <w:rsid w:val="7F5B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link w:val="48"/>
    <w:qFormat/>
    <w:uiPriority w:val="9"/>
    <w:pPr>
      <w:keepNext/>
      <w:keepLines/>
      <w:spacing w:before="340" w:after="330" w:line="578" w:lineRule="auto"/>
      <w:outlineLvl w:val="0"/>
    </w:pPr>
    <w:rPr>
      <w:b/>
      <w:bCs/>
      <w:kern w:val="44"/>
      <w:sz w:val="44"/>
      <w:szCs w:val="44"/>
    </w:rPr>
  </w:style>
  <w:style w:type="paragraph" w:styleId="3">
    <w:name w:val="heading 2"/>
    <w:basedOn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link w:val="50"/>
    <w:semiHidden/>
    <w:unhideWhenUsed/>
    <w:qFormat/>
    <w:uiPriority w:val="9"/>
    <w:pPr>
      <w:keepNext/>
      <w:keepLines/>
      <w:spacing w:before="260" w:after="260" w:line="416" w:lineRule="auto"/>
      <w:outlineLvl w:val="2"/>
    </w:pPr>
    <w:rPr>
      <w:b/>
      <w:bCs/>
      <w:sz w:val="32"/>
      <w:szCs w:val="32"/>
    </w:rPr>
  </w:style>
  <w:style w:type="paragraph" w:styleId="5">
    <w:name w:val="heading 4"/>
    <w:basedOn w:val="1"/>
    <w:link w:val="55"/>
    <w:qFormat/>
    <w:uiPriority w:val="0"/>
    <w:pPr>
      <w:keepNext/>
      <w:keepLines/>
      <w:spacing w:before="280" w:after="290" w:line="376" w:lineRule="auto"/>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7"/>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Body Text Indent"/>
    <w:basedOn w:val="1"/>
    <w:qFormat/>
    <w:uiPriority w:val="0"/>
    <w:pPr>
      <w:spacing w:after="120"/>
      <w:ind w:left="420" w:leftChars="200"/>
    </w:pPr>
  </w:style>
  <w:style w:type="paragraph" w:styleId="10">
    <w:name w:val="toc 3"/>
    <w:basedOn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Plain Text"/>
    <w:basedOn w:val="1"/>
    <w:link w:val="37"/>
    <w:qFormat/>
    <w:uiPriority w:val="99"/>
    <w:rPr>
      <w:rFonts w:ascii="宋体" w:hAnsi="Courier New" w:eastAsiaTheme="minorEastAsia" w:cstheme="minorBidi"/>
      <w:szCs w:val="22"/>
    </w:rPr>
  </w:style>
  <w:style w:type="paragraph" w:styleId="12">
    <w:name w:val="Date"/>
    <w:basedOn w:val="1"/>
    <w:link w:val="44"/>
    <w:qFormat/>
    <w:uiPriority w:val="0"/>
    <w:rPr>
      <w:rFonts w:ascii="Arial" w:hAnsi="Arial" w:eastAsia="宋体" w:cs="Arial"/>
      <w:b/>
      <w:sz w:val="28"/>
    </w:rPr>
  </w:style>
  <w:style w:type="paragraph" w:styleId="13">
    <w:name w:val="Balloon Text"/>
    <w:basedOn w:val="1"/>
    <w:link w:val="31"/>
    <w:semiHidden/>
    <w:unhideWhenUsed/>
    <w:qFormat/>
    <w:uiPriority w:val="99"/>
    <w:rPr>
      <w:sz w:val="18"/>
      <w:szCs w:val="18"/>
    </w:rPr>
  </w:style>
  <w:style w:type="paragraph" w:styleId="14">
    <w:name w:val="footer"/>
    <w:basedOn w:val="1"/>
    <w:link w:val="36"/>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toc 2"/>
    <w:basedOn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9">
    <w:name w:val="Normal (Web)"/>
    <w:basedOn w:val="1"/>
    <w:qFormat/>
    <w:uiPriority w:val="0"/>
    <w:pPr>
      <w:spacing w:before="100" w:beforeAutospacing="1" w:after="100" w:afterAutospacing="1"/>
      <w:jc w:val="left"/>
    </w:pPr>
    <w:rPr>
      <w:rFonts w:cs="Times New Roman"/>
      <w:kern w:val="0"/>
      <w:sz w:val="24"/>
    </w:rPr>
  </w:style>
  <w:style w:type="paragraph" w:styleId="20">
    <w:name w:val="index 1"/>
    <w:basedOn w:val="1"/>
    <w:qFormat/>
    <w:uiPriority w:val="0"/>
    <w:pPr>
      <w:jc w:val="center"/>
    </w:pPr>
    <w:rPr>
      <w:rFonts w:ascii="Arial" w:hAnsi="Arial" w:eastAsia="Arial" w:cs="Arial"/>
      <w:b/>
      <w:bCs/>
      <w:sz w:val="28"/>
    </w:rPr>
  </w:style>
  <w:style w:type="paragraph" w:styleId="21">
    <w:name w:val="annotation subject"/>
    <w:basedOn w:val="7"/>
    <w:link w:val="58"/>
    <w:semiHidden/>
    <w:unhideWhenUsed/>
    <w:qFormat/>
    <w:uiPriority w:val="99"/>
    <w:rPr>
      <w:rFonts w:ascii="@仿宋_GB2312" w:hAnsi="@仿宋_GB2312" w:eastAsia="@仿宋_GB2312" w:cs="@仿宋_GB2312"/>
      <w:b/>
      <w:bCs/>
    </w:rPr>
  </w:style>
  <w:style w:type="paragraph" w:styleId="22">
    <w:name w:val="Body Text First Indent"/>
    <w:basedOn w:val="8"/>
    <w:unhideWhenUsed/>
    <w:qFormat/>
    <w:uiPriority w:val="99"/>
    <w:pPr>
      <w:ind w:firstLine="420" w:firstLineChars="100"/>
    </w:pPr>
  </w:style>
  <w:style w:type="paragraph" w:styleId="23">
    <w:name w:val="Body Text First Indent 2"/>
    <w:basedOn w:val="9"/>
    <w:qFormat/>
    <w:uiPriority w:val="0"/>
    <w:pPr>
      <w:ind w:left="420" w:firstLine="420" w:firstLineChars="200"/>
    </w:pPr>
    <w:rPr>
      <w:rFonts w:ascii="Times New Roman" w:hAnsi="Times New Roman" w:eastAsia="宋体" w:cs="Times New Roman"/>
    </w:rPr>
  </w:style>
  <w:style w:type="table" w:styleId="25">
    <w:name w:val="Table Grid"/>
    <w:basedOn w:val="2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semiHidden/>
    <w:unhideWhenUsed/>
    <w:qFormat/>
    <w:uiPriority w:val="99"/>
    <w:rPr>
      <w:sz w:val="21"/>
      <w:szCs w:val="21"/>
    </w:rPr>
  </w:style>
  <w:style w:type="paragraph" w:customStyle="1" w:styleId="30">
    <w:name w:val="首行缩进"/>
    <w:basedOn w:val="1"/>
    <w:qFormat/>
    <w:uiPriority w:val="0"/>
    <w:pPr>
      <w:ind w:firstLine="480" w:firstLineChars="200"/>
    </w:pPr>
    <w:rPr>
      <w:lang w:val="zh-CN"/>
    </w:rPr>
  </w:style>
  <w:style w:type="character" w:customStyle="1" w:styleId="31">
    <w:name w:val="批注框文本 Char"/>
    <w:basedOn w:val="26"/>
    <w:link w:val="13"/>
    <w:semiHidden/>
    <w:qFormat/>
    <w:uiPriority w:val="99"/>
    <w:rPr>
      <w:rFonts w:ascii="@仿宋_GB2312" w:hAnsi="@仿宋_GB2312" w:eastAsia="@仿宋_GB2312" w:cs="@仿宋_GB2312"/>
      <w:sz w:val="18"/>
      <w:szCs w:val="18"/>
    </w:rPr>
  </w:style>
  <w:style w:type="paragraph" w:customStyle="1" w:styleId="32">
    <w:name w:val="正文（缩进）"/>
    <w:basedOn w:val="1"/>
    <w:qFormat/>
    <w:uiPriority w:val="0"/>
    <w:pPr>
      <w:widowControl/>
      <w:spacing w:before="156" w:after="156"/>
      <w:ind w:firstLine="480" w:firstLineChars="200"/>
      <w:jc w:val="left"/>
    </w:pPr>
    <w:rPr>
      <w:kern w:val="0"/>
      <w:sz w:val="24"/>
      <w:szCs w:val="24"/>
    </w:rPr>
  </w:style>
  <w:style w:type="paragraph" w:customStyle="1" w:styleId="33">
    <w:name w:val="xl31"/>
    <w:basedOn w:val="1"/>
    <w:qFormat/>
    <w:uiPriority w:val="0"/>
    <w:pPr>
      <w:widowControl/>
      <w:spacing w:before="100" w:beforeAutospacing="1" w:after="100" w:afterAutospacing="1"/>
      <w:jc w:val="center"/>
    </w:pPr>
    <w:rPr>
      <w:b/>
      <w:bCs/>
      <w:kern w:val="0"/>
      <w:sz w:val="28"/>
      <w:szCs w:val="28"/>
    </w:rPr>
  </w:style>
  <w:style w:type="paragraph" w:customStyle="1" w:styleId="34">
    <w:name w:val="D&amp;L"/>
    <w:basedOn w:val="16"/>
    <w:qFormat/>
    <w:uiPriority w:val="0"/>
    <w:pPr>
      <w:pBdr>
        <w:bottom w:val="thinThickSmallGap" w:color="auto" w:sz="18" w:space="1"/>
      </w:pBdr>
      <w:adjustRightInd w:val="0"/>
      <w:snapToGrid/>
      <w:spacing w:line="240" w:lineRule="atLeast"/>
    </w:pPr>
    <w:rPr>
      <w:kern w:val="0"/>
      <w:sz w:val="24"/>
      <w:szCs w:val="20"/>
    </w:rPr>
  </w:style>
  <w:style w:type="character" w:customStyle="1" w:styleId="35">
    <w:name w:val="页眉 Char"/>
    <w:basedOn w:val="26"/>
    <w:link w:val="16"/>
    <w:qFormat/>
    <w:uiPriority w:val="99"/>
    <w:rPr>
      <w:rFonts w:ascii="@仿宋_GB2312" w:hAnsi="@仿宋_GB2312" w:eastAsia="@仿宋_GB2312" w:cs="@仿宋_GB2312"/>
      <w:sz w:val="18"/>
      <w:szCs w:val="18"/>
    </w:rPr>
  </w:style>
  <w:style w:type="character" w:customStyle="1" w:styleId="36">
    <w:name w:val="页脚 Char"/>
    <w:basedOn w:val="26"/>
    <w:link w:val="14"/>
    <w:qFormat/>
    <w:uiPriority w:val="99"/>
    <w:rPr>
      <w:rFonts w:ascii="@仿宋_GB2312" w:hAnsi="@仿宋_GB2312" w:eastAsia="@仿宋_GB2312" w:cs="@仿宋_GB2312"/>
      <w:sz w:val="18"/>
      <w:szCs w:val="18"/>
    </w:rPr>
  </w:style>
  <w:style w:type="character" w:customStyle="1" w:styleId="37">
    <w:name w:val="纯文本 Char"/>
    <w:link w:val="11"/>
    <w:qFormat/>
    <w:uiPriority w:val="0"/>
    <w:rPr>
      <w:rFonts w:ascii="宋体" w:hAnsi="Courier New"/>
    </w:rPr>
  </w:style>
  <w:style w:type="character" w:customStyle="1" w:styleId="38">
    <w:name w:val="纯文本 字符1"/>
    <w:basedOn w:val="26"/>
    <w:semiHidden/>
    <w:qFormat/>
    <w:uiPriority w:val="99"/>
    <w:rPr>
      <w:rFonts w:hAnsi="Courier New" w:cs="Courier New" w:asciiTheme="minorEastAsia"/>
      <w:szCs w:val="20"/>
    </w:rPr>
  </w:style>
  <w:style w:type="character" w:customStyle="1" w:styleId="39">
    <w:name w:val="未处理的提及1"/>
    <w:basedOn w:val="26"/>
    <w:semiHidden/>
    <w:unhideWhenUsed/>
    <w:qFormat/>
    <w:uiPriority w:val="99"/>
    <w:rPr>
      <w:color w:val="605E5C"/>
      <w:shd w:val="clear" w:color="auto" w:fill="E1DFDD"/>
    </w:rPr>
  </w:style>
  <w:style w:type="paragraph" w:styleId="40">
    <w:name w:val="List Paragraph"/>
    <w:basedOn w:val="1"/>
    <w:qFormat/>
    <w:uiPriority w:val="34"/>
    <w:pPr>
      <w:ind w:firstLine="420" w:firstLineChars="200"/>
    </w:pPr>
  </w:style>
  <w:style w:type="paragraph" w:customStyle="1" w:styleId="41">
    <w:name w:val="Char Char Char Char Char Char Char1 Char"/>
    <w:basedOn w:val="1"/>
    <w:qFormat/>
    <w:uiPriority w:val="0"/>
    <w:rPr>
      <w:rFonts w:ascii="Arial" w:hAnsi="Arial" w:eastAsia="宋体" w:cs="Arial"/>
      <w:sz w:val="24"/>
    </w:rPr>
  </w:style>
  <w:style w:type="table" w:customStyle="1" w:styleId="42">
    <w:name w:val="网格表 1 浅色1"/>
    <w:basedOn w:val="2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3">
    <w:name w:val="日期 字符"/>
    <w:basedOn w:val="26"/>
    <w:semiHidden/>
    <w:qFormat/>
    <w:uiPriority w:val="99"/>
    <w:rPr>
      <w:rFonts w:ascii="@仿宋_GB2312" w:hAnsi="@仿宋_GB2312" w:eastAsia="@仿宋_GB2312" w:cs="@仿宋_GB2312"/>
      <w:szCs w:val="20"/>
    </w:rPr>
  </w:style>
  <w:style w:type="character" w:customStyle="1" w:styleId="44">
    <w:name w:val="日期 Char"/>
    <w:link w:val="12"/>
    <w:qFormat/>
    <w:uiPriority w:val="0"/>
    <w:rPr>
      <w:rFonts w:ascii="Arial" w:hAnsi="Arial" w:eastAsia="宋体" w:cs="Arial"/>
      <w:b/>
      <w:sz w:val="28"/>
      <w:szCs w:val="20"/>
    </w:rPr>
  </w:style>
  <w:style w:type="character" w:customStyle="1" w:styleId="45">
    <w:name w:val="纯文本 Char1"/>
    <w:qFormat/>
    <w:uiPriority w:val="99"/>
    <w:rPr>
      <w:rFonts w:ascii="Arial" w:hAnsi="Arial" w:eastAsia="Arial"/>
      <w:kern w:val="2"/>
      <w:sz w:val="21"/>
      <w:lang w:val="en-US" w:eastAsia="zh-CN" w:bidi="ar-SA"/>
    </w:rPr>
  </w:style>
  <w:style w:type="character" w:customStyle="1" w:styleId="46">
    <w:name w:val="批注文字 Char"/>
    <w:basedOn w:val="26"/>
    <w:semiHidden/>
    <w:qFormat/>
    <w:uiPriority w:val="99"/>
    <w:rPr>
      <w:rFonts w:ascii="@仿宋_GB2312" w:hAnsi="@仿宋_GB2312" w:eastAsia="@仿宋_GB2312" w:cs="@仿宋_GB2312"/>
      <w:szCs w:val="20"/>
    </w:rPr>
  </w:style>
  <w:style w:type="character" w:customStyle="1" w:styleId="47">
    <w:name w:val="批注文字 Char1"/>
    <w:link w:val="7"/>
    <w:qFormat/>
    <w:uiPriority w:val="0"/>
    <w:rPr>
      <w:rFonts w:ascii="Arial" w:hAnsi="Arial" w:eastAsia="黑体" w:cs="Arial"/>
      <w:szCs w:val="20"/>
    </w:rPr>
  </w:style>
  <w:style w:type="character" w:customStyle="1" w:styleId="48">
    <w:name w:val="标题 1 Char"/>
    <w:basedOn w:val="26"/>
    <w:link w:val="2"/>
    <w:qFormat/>
    <w:uiPriority w:val="9"/>
    <w:rPr>
      <w:rFonts w:ascii="@仿宋_GB2312" w:hAnsi="@仿宋_GB2312" w:eastAsia="@仿宋_GB2312" w:cs="@仿宋_GB2312"/>
      <w:b/>
      <w:bCs/>
      <w:kern w:val="44"/>
      <w:sz w:val="44"/>
      <w:szCs w:val="44"/>
    </w:rPr>
  </w:style>
  <w:style w:type="paragraph" w:customStyle="1" w:styleId="49">
    <w:name w:val="TOC 标题1"/>
    <w:basedOn w:val="2"/>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0">
    <w:name w:val="标题 3 Char"/>
    <w:basedOn w:val="26"/>
    <w:link w:val="4"/>
    <w:semiHidden/>
    <w:qFormat/>
    <w:uiPriority w:val="9"/>
    <w:rPr>
      <w:rFonts w:ascii="@仿宋_GB2312" w:hAnsi="@仿宋_GB2312" w:eastAsia="@仿宋_GB2312" w:cs="@仿宋_GB2312"/>
      <w:b/>
      <w:bCs/>
      <w:sz w:val="32"/>
      <w:szCs w:val="32"/>
    </w:rPr>
  </w:style>
  <w:style w:type="character" w:customStyle="1" w:styleId="51">
    <w:name w:val="fontstyle01"/>
    <w:basedOn w:val="26"/>
    <w:qFormat/>
    <w:uiPriority w:val="0"/>
    <w:rPr>
      <w:rFonts w:hint="eastAsia" w:ascii="宋体" w:hAnsi="宋体" w:eastAsia="宋体"/>
      <w:color w:val="000000"/>
      <w:sz w:val="22"/>
      <w:szCs w:val="22"/>
    </w:rPr>
  </w:style>
  <w:style w:type="character" w:customStyle="1" w:styleId="52">
    <w:name w:val="fontstyle21"/>
    <w:basedOn w:val="26"/>
    <w:qFormat/>
    <w:uiPriority w:val="0"/>
    <w:rPr>
      <w:rFonts w:hint="default" w:ascii="TimesNewRomanPSMT" w:hAnsi="TimesNewRomanPSMT"/>
      <w:color w:val="000000"/>
      <w:sz w:val="22"/>
      <w:szCs w:val="22"/>
    </w:rPr>
  </w:style>
  <w:style w:type="character" w:customStyle="1" w:styleId="53">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4">
    <w:name w:val="标题 4 字符"/>
    <w:basedOn w:val="26"/>
    <w:semiHidden/>
    <w:qFormat/>
    <w:uiPriority w:val="9"/>
    <w:rPr>
      <w:rFonts w:asciiTheme="majorHAnsi" w:hAnsiTheme="majorHAnsi" w:eastAsiaTheme="majorEastAsia" w:cstheme="majorBidi"/>
      <w:b/>
      <w:bCs/>
      <w:sz w:val="28"/>
      <w:szCs w:val="28"/>
    </w:rPr>
  </w:style>
  <w:style w:type="character" w:customStyle="1" w:styleId="55">
    <w:name w:val="标题 4 Char1"/>
    <w:link w:val="5"/>
    <w:qFormat/>
    <w:uiPriority w:val="0"/>
    <w:rPr>
      <w:rFonts w:ascii="@仿宋_GB2312" w:hAnsi="@仿宋_GB2312" w:eastAsia="@仿宋_GB2312" w:cs="@仿宋_GB2312"/>
      <w:b/>
      <w:bCs/>
      <w:sz w:val="28"/>
      <w:szCs w:val="28"/>
    </w:rPr>
  </w:style>
  <w:style w:type="character" w:customStyle="1" w:styleId="56">
    <w:name w:val="标题 4 Char"/>
    <w:qFormat/>
    <w:uiPriority w:val="0"/>
    <w:rPr>
      <w:rFonts w:ascii="Arial" w:hAnsi="Arial" w:eastAsia="Arial"/>
      <w:b/>
      <w:bCs/>
      <w:kern w:val="2"/>
      <w:sz w:val="28"/>
      <w:szCs w:val="28"/>
      <w:lang w:val="en-US" w:eastAsia="zh-CN" w:bidi="ar-SA"/>
    </w:rPr>
  </w:style>
  <w:style w:type="table" w:customStyle="1" w:styleId="57">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8">
    <w:name w:val="批注主题 Char"/>
    <w:basedOn w:val="47"/>
    <w:link w:val="21"/>
    <w:semiHidden/>
    <w:qFormat/>
    <w:uiPriority w:val="99"/>
    <w:rPr>
      <w:rFonts w:ascii="@仿宋_GB2312" w:hAnsi="@仿宋_GB2312" w:eastAsia="@仿宋_GB2312" w:cs="@仿宋_GB2312"/>
      <w:b/>
      <w:bCs/>
      <w:szCs w:val="20"/>
    </w:rPr>
  </w:style>
  <w:style w:type="table" w:customStyle="1" w:styleId="59">
    <w:name w:val="Table Normal"/>
    <w:semiHidden/>
    <w:unhideWhenUsed/>
    <w:qFormat/>
    <w:uiPriority w:val="0"/>
    <w:tblPr>
      <w:tblCellMar>
        <w:top w:w="0" w:type="dxa"/>
        <w:left w:w="0" w:type="dxa"/>
        <w:bottom w:w="0" w:type="dxa"/>
        <w:right w:w="0" w:type="dxa"/>
      </w:tblCellMar>
    </w:tblPr>
  </w:style>
  <w:style w:type="paragraph" w:customStyle="1" w:styleId="60">
    <w:name w:val="Table Text"/>
    <w:basedOn w:val="1"/>
    <w:semiHidden/>
    <w:qFormat/>
    <w:uiPriority w:val="0"/>
    <w:rPr>
      <w:rFonts w:ascii="Arial" w:hAnsi="Arial" w:eastAsia="Arial" w:cs="Arial"/>
      <w:sz w:val="21"/>
      <w:szCs w:val="21"/>
      <w:lang w:val="en-US" w:eastAsia="en-US" w:bidi="ar-SA"/>
    </w:r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2">
    <w:name w:val="列出段落1"/>
    <w:basedOn w:val="1"/>
    <w:qFormat/>
    <w:uiPriority w:val="0"/>
    <w:pPr>
      <w:ind w:firstLine="420" w:firstLineChars="200"/>
    </w:pPr>
    <w:rPr>
      <w:szCs w:val="21"/>
    </w:rPr>
  </w:style>
  <w:style w:type="paragraph" w:customStyle="1" w:styleId="63">
    <w:name w:val="段落文字"/>
    <w:basedOn w:val="1"/>
    <w:qFormat/>
    <w:uiPriority w:val="0"/>
    <w:pPr>
      <w:spacing w:line="360" w:lineRule="auto"/>
      <w:ind w:firstLine="420" w:firstLineChars="200"/>
    </w:pPr>
    <w:rPr>
      <w:rFonts w:cs="宋体"/>
    </w:rPr>
  </w:style>
  <w:style w:type="paragraph" w:customStyle="1" w:styleId="64">
    <w:name w:val="自动更正"/>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55</Pages>
  <Words>1109</Words>
  <Characters>1214</Characters>
  <Lines>1</Lines>
  <Paragraphs>1</Paragraphs>
  <TotalTime>11</TotalTime>
  <ScaleCrop>false</ScaleCrop>
  <LinksUpToDate>false</LinksUpToDate>
  <CharactersWithSpaces>1252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吕倩</cp:lastModifiedBy>
  <dcterms:modified xsi:type="dcterms:W3CDTF">2025-07-25T06:34:42Z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B76FB02CFFBF43AF929F44711C6DEBEF_13</vt:lpwstr>
  </property>
  <property fmtid="{D5CDD505-2E9C-101B-9397-08002B2CF9AE}" pid="4" name="KSOTemplateDocerSaveRecord">
    <vt:lpwstr>eyJoZGlkIjoiYzZhZTc3Y2E5MDYyNWU2NzRiZDA3NjMyMTNjOWM1ZWUiLCJ1c2VySWQiOiI2NTQyNTA2NjAifQ==</vt:lpwstr>
  </property>
</Properties>
</file>