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5C" w:rsidRDefault="00AC655C" w:rsidP="00AC655C">
      <w:pPr>
        <w:jc w:val="center"/>
        <w:rPr>
          <w:rFonts w:ascii="黑体" w:eastAsia="黑体" w:hAnsi="黑体" w:hint="eastAsia"/>
          <w:sz w:val="32"/>
        </w:rPr>
      </w:pPr>
      <w:r w:rsidRPr="007170DC">
        <w:rPr>
          <w:rFonts w:ascii="黑体" w:eastAsia="黑体" w:hAnsi="黑体" w:cs="Calibri" w:hint="eastAsia"/>
          <w:color w:val="333333"/>
          <w:sz w:val="32"/>
          <w:szCs w:val="28"/>
        </w:rPr>
        <w:t>滁州市机电工程学校</w:t>
      </w:r>
      <w:r w:rsidRPr="007170DC">
        <w:rPr>
          <w:rFonts w:ascii="黑体" w:eastAsia="黑体" w:hAnsi="黑体" w:hint="eastAsia"/>
          <w:sz w:val="32"/>
        </w:rPr>
        <w:t>数据中心及安全等保项目</w:t>
      </w:r>
    </w:p>
    <w:p w:rsidR="00C8553F" w:rsidRDefault="00AC655C" w:rsidP="00AC655C">
      <w:pPr>
        <w:jc w:val="center"/>
        <w:rPr>
          <w:rFonts w:ascii="黑体" w:eastAsia="黑体" w:hAnsi="黑体" w:hint="eastAsia"/>
          <w:sz w:val="32"/>
        </w:rPr>
      </w:pPr>
      <w:r>
        <w:rPr>
          <w:rFonts w:ascii="黑体" w:eastAsia="黑体" w:hAnsi="黑体" w:hint="eastAsia"/>
          <w:sz w:val="32"/>
        </w:rPr>
        <w:t>拟采购产品规格型号</w:t>
      </w:r>
      <w:r w:rsidR="00034AC4">
        <w:rPr>
          <w:rFonts w:ascii="黑体" w:eastAsia="黑体" w:hAnsi="黑体" w:hint="eastAsia"/>
          <w:sz w:val="32"/>
        </w:rPr>
        <w:t>和</w:t>
      </w:r>
      <w:r>
        <w:rPr>
          <w:rFonts w:ascii="黑体" w:eastAsia="黑体" w:hAnsi="黑体" w:hint="eastAsia"/>
          <w:sz w:val="32"/>
        </w:rPr>
        <w:t>参数清单</w:t>
      </w:r>
    </w:p>
    <w:p w:rsidR="00AC655C" w:rsidRDefault="00AC655C" w:rsidP="00AC655C">
      <w:pPr>
        <w:jc w:val="center"/>
        <w:rPr>
          <w:rFonts w:ascii="黑体" w:eastAsia="黑体" w:hAnsi="黑体" w:hint="eastAsia"/>
          <w:sz w:val="32"/>
        </w:rPr>
      </w:pPr>
    </w:p>
    <w:tbl>
      <w:tblPr>
        <w:tblStyle w:val="a5"/>
        <w:tblW w:w="0" w:type="auto"/>
        <w:tblLook w:val="04A0" w:firstRow="1" w:lastRow="0" w:firstColumn="1" w:lastColumn="0" w:noHBand="0" w:noVBand="1"/>
      </w:tblPr>
      <w:tblGrid>
        <w:gridCol w:w="1035"/>
        <w:gridCol w:w="1121"/>
        <w:gridCol w:w="3186"/>
        <w:gridCol w:w="1031"/>
        <w:gridCol w:w="1035"/>
        <w:gridCol w:w="1114"/>
      </w:tblGrid>
      <w:tr w:rsidR="00AC655C" w:rsidTr="00FD397C">
        <w:tc>
          <w:tcPr>
            <w:tcW w:w="1035" w:type="dxa"/>
            <w:vAlign w:val="center"/>
          </w:tcPr>
          <w:p w:rsidR="00AC655C" w:rsidRDefault="00AC655C" w:rsidP="00AC655C">
            <w:pPr>
              <w:jc w:val="center"/>
            </w:pPr>
            <w:r>
              <w:rPr>
                <w:rFonts w:hint="eastAsia"/>
              </w:rPr>
              <w:t>序号</w:t>
            </w:r>
          </w:p>
        </w:tc>
        <w:tc>
          <w:tcPr>
            <w:tcW w:w="1121" w:type="dxa"/>
            <w:vAlign w:val="center"/>
          </w:tcPr>
          <w:p w:rsidR="00AC655C" w:rsidRDefault="00AC655C" w:rsidP="00AC655C">
            <w:pPr>
              <w:jc w:val="center"/>
            </w:pPr>
            <w:r>
              <w:rPr>
                <w:rFonts w:hint="eastAsia"/>
              </w:rPr>
              <w:t>产品名称</w:t>
            </w:r>
          </w:p>
        </w:tc>
        <w:tc>
          <w:tcPr>
            <w:tcW w:w="3186" w:type="dxa"/>
            <w:vAlign w:val="center"/>
          </w:tcPr>
          <w:p w:rsidR="00AC655C" w:rsidRDefault="00AC655C" w:rsidP="00AC655C">
            <w:pPr>
              <w:jc w:val="center"/>
            </w:pPr>
            <w:r>
              <w:rPr>
                <w:rFonts w:hint="eastAsia"/>
              </w:rPr>
              <w:t>规格型号</w:t>
            </w:r>
          </w:p>
        </w:tc>
        <w:tc>
          <w:tcPr>
            <w:tcW w:w="1031" w:type="dxa"/>
            <w:vAlign w:val="center"/>
          </w:tcPr>
          <w:p w:rsidR="00AC655C" w:rsidRDefault="00AC655C" w:rsidP="00AC655C">
            <w:pPr>
              <w:jc w:val="center"/>
            </w:pPr>
            <w:r>
              <w:rPr>
                <w:rFonts w:hint="eastAsia"/>
              </w:rPr>
              <w:t>数量</w:t>
            </w:r>
          </w:p>
        </w:tc>
        <w:tc>
          <w:tcPr>
            <w:tcW w:w="1035" w:type="dxa"/>
            <w:vAlign w:val="center"/>
          </w:tcPr>
          <w:p w:rsidR="00AC655C" w:rsidRDefault="00AC655C" w:rsidP="00AC655C">
            <w:pPr>
              <w:jc w:val="center"/>
            </w:pPr>
            <w:r>
              <w:rPr>
                <w:rFonts w:hint="eastAsia"/>
              </w:rPr>
              <w:t>单位</w:t>
            </w:r>
          </w:p>
        </w:tc>
        <w:tc>
          <w:tcPr>
            <w:tcW w:w="1114" w:type="dxa"/>
          </w:tcPr>
          <w:p w:rsidR="00AC655C" w:rsidRDefault="00AC655C" w:rsidP="00AC655C">
            <w:pPr>
              <w:jc w:val="center"/>
            </w:pPr>
            <w:r>
              <w:rPr>
                <w:rFonts w:hint="eastAsia"/>
              </w:rPr>
              <w:t>备注</w:t>
            </w: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超融合资源池</w:t>
            </w:r>
          </w:p>
        </w:tc>
        <w:tc>
          <w:tcPr>
            <w:tcW w:w="3186" w:type="dxa"/>
            <w:vAlign w:val="center"/>
          </w:tcPr>
          <w:p w:rsidR="00AC655C" w:rsidRDefault="00AC655C" w:rsidP="00195500">
            <w:pPr>
              <w:rPr>
                <w:rFonts w:ascii="宋体" w:hAnsi="宋体" w:hint="eastAsia"/>
                <w:color w:val="000000"/>
                <w:sz w:val="22"/>
              </w:rPr>
            </w:pPr>
            <w:r>
              <w:rPr>
                <w:rFonts w:ascii="宋体" w:hAnsi="宋体" w:hint="eastAsia"/>
                <w:color w:val="000000"/>
                <w:sz w:val="22"/>
              </w:rPr>
              <w:t>（一）计算存储融合节点要求：</w:t>
            </w:r>
            <w:r>
              <w:rPr>
                <w:rFonts w:ascii="宋体" w:hAnsi="宋体" w:hint="eastAsia"/>
                <w:color w:val="000000"/>
                <w:sz w:val="22"/>
              </w:rPr>
              <w:br/>
              <w:t>本次配置计算存储融合节点≥6个,每节点要求如下：</w:t>
            </w:r>
            <w:r>
              <w:rPr>
                <w:rFonts w:ascii="宋体" w:hAnsi="宋体" w:hint="eastAsia"/>
                <w:color w:val="000000"/>
                <w:sz w:val="22"/>
              </w:rPr>
              <w:br/>
              <w:t>1</w:t>
            </w:r>
            <w:r>
              <w:rPr>
                <w:rFonts w:ascii="宋体" w:hAnsi="宋体" w:hint="eastAsia"/>
                <w:color w:val="000000"/>
                <w:sz w:val="22"/>
              </w:rPr>
              <w:t>、</w:t>
            </w:r>
            <w:r>
              <w:rPr>
                <w:rFonts w:ascii="宋体" w:hAnsi="宋体" w:hint="eastAsia"/>
                <w:color w:val="000000"/>
                <w:sz w:val="22"/>
              </w:rPr>
              <w:t>处理器不低于2.2GHZ，24核，数量≥2；</w:t>
            </w:r>
            <w:r>
              <w:rPr>
                <w:rFonts w:ascii="宋体" w:hAnsi="宋体" w:hint="eastAsia"/>
                <w:color w:val="000000"/>
                <w:sz w:val="22"/>
              </w:rPr>
              <w:br/>
              <w:t>2</w:t>
            </w:r>
            <w:r>
              <w:rPr>
                <w:rFonts w:ascii="宋体" w:hAnsi="宋体" w:hint="eastAsia"/>
                <w:color w:val="000000"/>
                <w:sz w:val="22"/>
              </w:rPr>
              <w:t>、</w:t>
            </w:r>
            <w:r>
              <w:rPr>
                <w:rFonts w:ascii="宋体" w:hAnsi="宋体" w:hint="eastAsia"/>
                <w:color w:val="000000"/>
                <w:sz w:val="22"/>
              </w:rPr>
              <w:t>内存配置容量≥256GB；</w:t>
            </w:r>
            <w:r>
              <w:rPr>
                <w:rFonts w:ascii="宋体" w:hAnsi="宋体" w:hint="eastAsia"/>
                <w:color w:val="000000"/>
                <w:sz w:val="22"/>
              </w:rPr>
              <w:br/>
              <w:t>3</w:t>
            </w:r>
            <w:r>
              <w:rPr>
                <w:rFonts w:ascii="宋体" w:hAnsi="宋体" w:hint="eastAsia"/>
                <w:color w:val="000000"/>
                <w:sz w:val="22"/>
              </w:rPr>
              <w:t>、</w:t>
            </w:r>
            <w:r>
              <w:rPr>
                <w:rFonts w:ascii="宋体" w:hAnsi="宋体" w:hint="eastAsia"/>
                <w:color w:val="000000"/>
                <w:sz w:val="22"/>
              </w:rPr>
              <w:t>配置≥12块4TB SATA硬盘，≥2 块 600GB 10K SAS 硬盘，≥1块NVMe 3200G SSD；</w:t>
            </w:r>
            <w:r>
              <w:rPr>
                <w:rFonts w:ascii="宋体" w:hAnsi="宋体" w:hint="eastAsia"/>
                <w:color w:val="000000"/>
                <w:sz w:val="22"/>
              </w:rPr>
              <w:br/>
              <w:t>4</w:t>
            </w:r>
            <w:r>
              <w:rPr>
                <w:rFonts w:ascii="宋体" w:hAnsi="宋体" w:hint="eastAsia"/>
                <w:color w:val="000000"/>
                <w:sz w:val="22"/>
              </w:rPr>
              <w:t>、</w:t>
            </w:r>
            <w:r>
              <w:rPr>
                <w:rFonts w:ascii="宋体" w:hAnsi="宋体" w:hint="eastAsia"/>
                <w:color w:val="000000"/>
                <w:sz w:val="22"/>
              </w:rPr>
              <w:t>配置RAID卡，2G缓存，支持 RAID 0、1、5，配置超级电容；</w:t>
            </w:r>
            <w:r>
              <w:rPr>
                <w:rFonts w:ascii="宋体" w:hAnsi="宋体" w:hint="eastAsia"/>
                <w:color w:val="000000"/>
                <w:sz w:val="22"/>
              </w:rPr>
              <w:br/>
              <w:t>5</w:t>
            </w:r>
            <w:r>
              <w:rPr>
                <w:rFonts w:ascii="宋体" w:hAnsi="宋体" w:hint="eastAsia"/>
                <w:color w:val="000000"/>
                <w:sz w:val="22"/>
              </w:rPr>
              <w:t>、</w:t>
            </w:r>
            <w:r>
              <w:rPr>
                <w:rFonts w:ascii="宋体" w:hAnsi="宋体" w:hint="eastAsia"/>
                <w:color w:val="000000"/>
                <w:sz w:val="22"/>
              </w:rPr>
              <w:t>网卡≥4*10GE光口（满配光模块），≥2*GE电口。</w:t>
            </w:r>
            <w:r>
              <w:rPr>
                <w:rFonts w:ascii="宋体" w:hAnsi="宋体" w:hint="eastAsia"/>
                <w:color w:val="000000"/>
                <w:sz w:val="22"/>
              </w:rPr>
              <w:br/>
              <w:t>（二）超融合系统软件要求：</w:t>
            </w:r>
            <w:r>
              <w:rPr>
                <w:rFonts w:ascii="宋体" w:hAnsi="宋体" w:hint="eastAsia"/>
                <w:color w:val="000000"/>
                <w:sz w:val="22"/>
              </w:rPr>
              <w:br/>
              <w:t>本次配置1套满足此次项目需求的计算虚拟化软件、分布式存储软件、超融合管理软件的授权；包含云平台管理软件、管理平台主备机制软件，数据中心管理平台软件，含三年专享升级服务；</w:t>
            </w:r>
            <w:r>
              <w:rPr>
                <w:rFonts w:ascii="宋体" w:hAnsi="宋体" w:hint="eastAsia"/>
                <w:color w:val="000000"/>
                <w:sz w:val="22"/>
              </w:rPr>
              <w:br/>
              <w:t>1、虚拟化软件、分布式存储软件、超融合管理软件必须具有国产软件自主知识产权，具有自主研发能力，保障后续产品的连续性。</w:t>
            </w:r>
            <w:r>
              <w:rPr>
                <w:rFonts w:ascii="宋体" w:hAnsi="宋体" w:hint="eastAsia"/>
                <w:color w:val="000000"/>
                <w:sz w:val="22"/>
              </w:rPr>
              <w:br/>
              <w:t>2、在同一个管理界面中监控和管理计算、存储、交换机、虚拟化平台等。</w:t>
            </w:r>
            <w:r>
              <w:rPr>
                <w:rFonts w:ascii="宋体" w:hAnsi="宋体" w:hint="eastAsia"/>
                <w:color w:val="000000"/>
                <w:sz w:val="22"/>
              </w:rPr>
              <w:br/>
              <w:t>3、分布式存储软件构筑在x86/ARM标准硬件之上，非开源软件开发，如不能使用开源Lustre和Ceph软件等，通过软件层面的去中心化架构和数据冗余技术，来达到高可伸缩性和高可用性；</w:t>
            </w:r>
            <w:r>
              <w:rPr>
                <w:rFonts w:ascii="宋体" w:hAnsi="宋体" w:hint="eastAsia"/>
                <w:color w:val="000000"/>
                <w:sz w:val="22"/>
              </w:rPr>
              <w:br/>
            </w:r>
            <w:r>
              <w:rPr>
                <w:rFonts w:ascii="宋体" w:hAnsi="宋体" w:hint="eastAsia"/>
                <w:color w:val="000000"/>
                <w:sz w:val="22"/>
              </w:rPr>
              <w:lastRenderedPageBreak/>
              <w:t>4、</w:t>
            </w:r>
            <w:r w:rsidRPr="00CE27ED">
              <w:rPr>
                <w:rFonts w:ascii="宋体" w:hAnsi="宋体" w:hint="eastAsia"/>
                <w:color w:val="000000"/>
                <w:sz w:val="22"/>
              </w:rPr>
              <w:t>实现</w:t>
            </w:r>
            <w:r>
              <w:rPr>
                <w:rFonts w:ascii="宋体" w:hAnsi="宋体" w:hint="eastAsia"/>
                <w:color w:val="000000"/>
                <w:sz w:val="22"/>
              </w:rPr>
              <w:t>管理节点的管理数据定期自动备份到远端FTP服务，以便出现重大事故导致管理数据丢失时，可以利用备份的数据进行恢复。</w:t>
            </w:r>
            <w:r>
              <w:rPr>
                <w:rFonts w:ascii="宋体" w:hAnsi="宋体" w:hint="eastAsia"/>
                <w:color w:val="000000"/>
                <w:sz w:val="22"/>
              </w:rPr>
              <w:br/>
              <w:t>5、</w:t>
            </w:r>
            <w:r w:rsidRPr="00CE27ED">
              <w:rPr>
                <w:rFonts w:ascii="宋体" w:hAnsi="宋体" w:hint="eastAsia"/>
                <w:color w:val="000000"/>
                <w:sz w:val="22"/>
              </w:rPr>
              <w:t>实现</w:t>
            </w:r>
            <w:r>
              <w:rPr>
                <w:rFonts w:ascii="宋体" w:hAnsi="宋体" w:hint="eastAsia"/>
                <w:color w:val="000000"/>
                <w:sz w:val="22"/>
              </w:rPr>
              <w:t>在图形界面上一键式完成存储、计算、网络的扩容，对于扩容节点自动完成操作系统和虚拟化平台软件安装与初始配置。</w:t>
            </w:r>
            <w:r>
              <w:rPr>
                <w:rFonts w:ascii="宋体" w:hAnsi="宋体" w:hint="eastAsia"/>
                <w:color w:val="000000"/>
                <w:sz w:val="22"/>
              </w:rPr>
              <w:br/>
              <w:t>6、在全SSD配置及SSD+HDD混合配置下，</w:t>
            </w:r>
            <w:r w:rsidRPr="00CE27ED">
              <w:rPr>
                <w:rFonts w:ascii="宋体" w:hAnsi="宋体" w:hint="eastAsia"/>
                <w:color w:val="000000"/>
                <w:sz w:val="22"/>
              </w:rPr>
              <w:t>实现</w:t>
            </w:r>
            <w:r>
              <w:rPr>
                <w:rFonts w:ascii="宋体" w:hAnsi="宋体" w:hint="eastAsia"/>
                <w:color w:val="000000"/>
                <w:sz w:val="22"/>
              </w:rPr>
              <w:t>EC（Erasure Code）算法实现数据冗余存储的功能， 4+2冗余配置；本次配置EC（Erasure Code）算法实现数据冗余存储；</w:t>
            </w:r>
            <w:r>
              <w:rPr>
                <w:rFonts w:ascii="宋体" w:hAnsi="宋体" w:hint="eastAsia"/>
                <w:color w:val="000000"/>
                <w:sz w:val="22"/>
              </w:rPr>
              <w:br/>
              <w:t>7、</w:t>
            </w:r>
            <w:r w:rsidRPr="00CE27ED">
              <w:rPr>
                <w:rFonts w:ascii="宋体" w:hAnsi="宋体" w:hint="eastAsia"/>
                <w:color w:val="000000"/>
                <w:sz w:val="22"/>
              </w:rPr>
              <w:t>实现</w:t>
            </w:r>
            <w:r>
              <w:rPr>
                <w:rFonts w:ascii="宋体" w:hAnsi="宋体" w:hint="eastAsia"/>
                <w:color w:val="000000"/>
                <w:sz w:val="22"/>
              </w:rPr>
              <w:t>虚拟机资源调整功能，根据实际需要修改虚拟机的属性，包括vCPU个数、内存大小、硬盘数量和网卡个数。</w:t>
            </w:r>
            <w:r>
              <w:rPr>
                <w:rFonts w:ascii="宋体" w:hAnsi="宋体" w:hint="eastAsia"/>
                <w:color w:val="000000"/>
                <w:sz w:val="22"/>
              </w:rPr>
              <w:br/>
              <w:t>8、</w:t>
            </w:r>
            <w:r w:rsidRPr="00CE27ED">
              <w:rPr>
                <w:rFonts w:ascii="宋体" w:hAnsi="宋体" w:hint="eastAsia"/>
                <w:color w:val="000000"/>
                <w:sz w:val="22"/>
              </w:rPr>
              <w:t>实现</w:t>
            </w:r>
            <w:r>
              <w:rPr>
                <w:rFonts w:ascii="宋体" w:hAnsi="宋体" w:hint="eastAsia"/>
                <w:color w:val="000000"/>
                <w:sz w:val="22"/>
              </w:rPr>
              <w:t>创建精简配置卷的功能，系统应该根据精简配置卷的实际使用情况动态分配空间，提供存储资源利用率。</w:t>
            </w:r>
          </w:p>
          <w:p w:rsidR="00AC655C" w:rsidRDefault="00AC655C" w:rsidP="00195500">
            <w:pPr>
              <w:rPr>
                <w:rFonts w:ascii="宋体" w:hAnsi="宋体" w:hint="eastAsia"/>
                <w:color w:val="000000"/>
                <w:sz w:val="22"/>
              </w:rPr>
            </w:pPr>
            <w:r>
              <w:rPr>
                <w:rFonts w:ascii="宋体" w:hAnsi="宋体" w:hint="eastAsia"/>
                <w:color w:val="000000"/>
                <w:sz w:val="22"/>
              </w:rPr>
              <w:t>9、</w:t>
            </w:r>
            <w:r w:rsidRPr="00CE27ED">
              <w:rPr>
                <w:rFonts w:ascii="宋体" w:hAnsi="宋体" w:hint="eastAsia"/>
                <w:color w:val="000000"/>
                <w:sz w:val="22"/>
              </w:rPr>
              <w:t>实现</w:t>
            </w:r>
            <w:r>
              <w:rPr>
                <w:rFonts w:ascii="宋体" w:hAnsi="宋体" w:hint="eastAsia"/>
                <w:color w:val="000000"/>
                <w:sz w:val="22"/>
              </w:rPr>
              <w:t>SSD磨损寿命识别的功能，提前告警及隔离处理；</w:t>
            </w:r>
          </w:p>
          <w:p w:rsidR="00AC655C" w:rsidRDefault="00AC655C" w:rsidP="00195500">
            <w:pPr>
              <w:rPr>
                <w:rFonts w:ascii="宋体" w:hAnsi="宋体" w:hint="eastAsia"/>
                <w:color w:val="000000"/>
                <w:sz w:val="22"/>
              </w:rPr>
            </w:pPr>
            <w:r>
              <w:rPr>
                <w:rFonts w:ascii="宋体" w:hAnsi="宋体" w:hint="eastAsia"/>
                <w:color w:val="000000"/>
                <w:sz w:val="22"/>
              </w:rPr>
              <w:t>10、</w:t>
            </w:r>
            <w:r w:rsidRPr="00CE27ED">
              <w:rPr>
                <w:rFonts w:ascii="宋体" w:hAnsi="宋体" w:hint="eastAsia"/>
                <w:color w:val="000000"/>
                <w:sz w:val="22"/>
              </w:rPr>
              <w:t>实现全局自适应重删压缩的功能，可根据业务负载自动在在线重删和后重删之间进行切换，压缩比达3:1</w:t>
            </w:r>
            <w:r>
              <w:rPr>
                <w:rFonts w:ascii="宋体" w:hAnsi="宋体" w:hint="eastAsia"/>
                <w:color w:val="000000"/>
                <w:sz w:val="22"/>
              </w:rPr>
              <w:t xml:space="preserve">； </w:t>
            </w:r>
            <w:r>
              <w:rPr>
                <w:rFonts w:ascii="宋体" w:hAnsi="宋体" w:hint="eastAsia"/>
                <w:color w:val="000000"/>
                <w:sz w:val="22"/>
              </w:rPr>
              <w:br/>
              <w:t>11</w:t>
            </w:r>
            <w:r>
              <w:rPr>
                <w:rFonts w:ascii="宋体" w:hAnsi="宋体" w:hint="eastAsia"/>
                <w:color w:val="000000"/>
                <w:sz w:val="22"/>
              </w:rPr>
              <w:t>、</w:t>
            </w:r>
            <w:r>
              <w:rPr>
                <w:rFonts w:ascii="宋体" w:hAnsi="宋体" w:hint="eastAsia"/>
                <w:color w:val="000000"/>
                <w:sz w:val="22"/>
              </w:rPr>
              <w:t>本次配置可用容量不低于145TB。</w:t>
            </w:r>
          </w:p>
          <w:p w:rsidR="00AC655C" w:rsidRDefault="00AC655C" w:rsidP="00195500">
            <w:pPr>
              <w:rPr>
                <w:rFonts w:ascii="宋体" w:hAnsi="宋体" w:cs="宋体"/>
                <w:b/>
                <w:color w:val="000000"/>
                <w:sz w:val="22"/>
              </w:rPr>
            </w:pP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套</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2</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数据中心万兆交换机</w:t>
            </w:r>
          </w:p>
        </w:tc>
        <w:tc>
          <w:tcPr>
            <w:tcW w:w="3186" w:type="dxa"/>
            <w:vAlign w:val="center"/>
          </w:tcPr>
          <w:p w:rsidR="00AC655C" w:rsidRDefault="00AC655C" w:rsidP="00195500">
            <w:pPr>
              <w:rPr>
                <w:rFonts w:ascii="宋体" w:hAnsi="宋体" w:hint="eastAsia"/>
                <w:color w:val="000000"/>
                <w:sz w:val="22"/>
              </w:rPr>
            </w:pPr>
            <w:r w:rsidRPr="00CE27ED">
              <w:rPr>
                <w:rFonts w:ascii="宋体" w:hAnsi="宋体" w:hint="eastAsia"/>
                <w:color w:val="000000"/>
                <w:sz w:val="22"/>
              </w:rPr>
              <w:t>1</w:t>
            </w:r>
            <w:r>
              <w:rPr>
                <w:rFonts w:ascii="宋体" w:hAnsi="宋体" w:hint="eastAsia"/>
                <w:color w:val="000000"/>
                <w:sz w:val="22"/>
              </w:rPr>
              <w:t>、</w:t>
            </w:r>
            <w:r w:rsidRPr="00CE27ED">
              <w:rPr>
                <w:rFonts w:ascii="宋体" w:hAnsi="宋体" w:hint="eastAsia"/>
                <w:color w:val="000000"/>
                <w:sz w:val="22"/>
              </w:rPr>
              <w:t>交换容量≥40T，包转发率≥1000Mpps；</w:t>
            </w:r>
            <w:r w:rsidRPr="00CE27ED">
              <w:rPr>
                <w:rFonts w:ascii="宋体" w:hAnsi="宋体" w:hint="eastAsia"/>
                <w:color w:val="000000"/>
                <w:sz w:val="22"/>
              </w:rPr>
              <w:br/>
              <w:t>2</w:t>
            </w:r>
            <w:r>
              <w:rPr>
                <w:rFonts w:ascii="宋体" w:hAnsi="宋体" w:hint="eastAsia"/>
                <w:color w:val="000000"/>
                <w:sz w:val="22"/>
              </w:rPr>
              <w:t>、</w:t>
            </w:r>
            <w:r w:rsidRPr="00CE27ED">
              <w:rPr>
                <w:rFonts w:ascii="宋体" w:hAnsi="宋体" w:hint="eastAsia"/>
                <w:color w:val="000000"/>
                <w:sz w:val="22"/>
              </w:rPr>
              <w:t>固定端口10GE SFP+≥48,40/100GE QSFP28≥6；配置20个万兆光模块。</w:t>
            </w:r>
            <w:r w:rsidRPr="00CE27ED">
              <w:rPr>
                <w:rFonts w:ascii="宋体" w:hAnsi="宋体" w:hint="eastAsia"/>
                <w:color w:val="000000"/>
                <w:sz w:val="22"/>
              </w:rPr>
              <w:br/>
              <w:t>3、可插拔电源模块≥2、独立风扇模块≥4；</w:t>
            </w:r>
            <w:r w:rsidRPr="00CE27ED">
              <w:rPr>
                <w:rFonts w:ascii="宋体" w:hAnsi="宋体" w:hint="eastAsia"/>
                <w:color w:val="000000"/>
                <w:sz w:val="22"/>
              </w:rPr>
              <w:br/>
              <w:t>4、实现RIP、RIPng、OSPF、OSPFv3、ISIS、ISISv6、BGP、BGP4+等动态路由协议；</w:t>
            </w:r>
            <w:r w:rsidRPr="00CE27ED">
              <w:rPr>
                <w:rFonts w:ascii="宋体" w:hAnsi="宋体" w:hint="eastAsia"/>
                <w:color w:val="000000"/>
                <w:sz w:val="22"/>
              </w:rPr>
              <w:br/>
              <w:t>5、实现BFD for OSPF，BGP，</w:t>
            </w:r>
            <w:r w:rsidRPr="00CE27ED">
              <w:rPr>
                <w:rFonts w:ascii="宋体" w:hAnsi="宋体" w:hint="eastAsia"/>
                <w:color w:val="000000"/>
                <w:sz w:val="22"/>
              </w:rPr>
              <w:lastRenderedPageBreak/>
              <w:t>IS-IS，Static Route的功能；</w:t>
            </w:r>
            <w:r w:rsidRPr="00CE27ED">
              <w:rPr>
                <w:rFonts w:ascii="宋体" w:hAnsi="宋体" w:hint="eastAsia"/>
                <w:color w:val="000000"/>
                <w:sz w:val="22"/>
              </w:rPr>
              <w:br/>
              <w:t>6、实现IGMP、PIM-SSM、IGMP Snooping、IGMP Proxy、MBGP等组播路由协议的功能；</w:t>
            </w:r>
            <w:r w:rsidRPr="00CE27ED">
              <w:rPr>
                <w:rFonts w:ascii="宋体" w:hAnsi="宋体" w:hint="eastAsia"/>
                <w:color w:val="000000"/>
                <w:sz w:val="22"/>
              </w:rPr>
              <w:br/>
              <w:t>7、实现缓存的微突发检测功能；</w:t>
            </w:r>
            <w:r w:rsidRPr="00CE27ED">
              <w:rPr>
                <w:rFonts w:ascii="宋体" w:hAnsi="宋体" w:hint="eastAsia"/>
                <w:color w:val="000000"/>
                <w:sz w:val="22"/>
              </w:rPr>
              <w:br/>
              <w:t>8、实现Netstream、sFlow、Telemetry、ERSPAN流量分析技术；</w:t>
            </w:r>
          </w:p>
          <w:p w:rsidR="00AC655C"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2</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3</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迁移服务</w:t>
            </w:r>
          </w:p>
        </w:tc>
        <w:tc>
          <w:tcPr>
            <w:tcW w:w="3186" w:type="dxa"/>
            <w:vAlign w:val="center"/>
          </w:tcPr>
          <w:p w:rsidR="00AC655C" w:rsidRDefault="00AC655C" w:rsidP="00195500">
            <w:pPr>
              <w:rPr>
                <w:rFonts w:ascii="宋体" w:hAnsi="宋体" w:cs="宋体"/>
                <w:color w:val="000000"/>
                <w:sz w:val="22"/>
              </w:rPr>
            </w:pPr>
            <w:r w:rsidRPr="00CE27ED">
              <w:rPr>
                <w:rFonts w:ascii="宋体" w:hAnsi="宋体" w:hint="eastAsia"/>
                <w:color w:val="000000"/>
                <w:sz w:val="22"/>
              </w:rPr>
              <w:t>我校一卡通、教务处教学诊改平台、总务处资产管理、教务处青果等现有业务系统迁移至本次项目建设的超融合资源池中。</w:t>
            </w: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套</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4</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数据中心接入防火墙</w:t>
            </w:r>
          </w:p>
        </w:tc>
        <w:tc>
          <w:tcPr>
            <w:tcW w:w="3186" w:type="dxa"/>
            <w:vAlign w:val="center"/>
          </w:tcPr>
          <w:p w:rsidR="00AC655C" w:rsidRDefault="00AC655C" w:rsidP="00195500">
            <w:pPr>
              <w:rPr>
                <w:rFonts w:ascii="宋体" w:hAnsi="宋体" w:hint="eastAsia"/>
                <w:color w:val="000000"/>
                <w:sz w:val="22"/>
              </w:rPr>
            </w:pPr>
            <w:r w:rsidRPr="00CE27ED">
              <w:rPr>
                <w:rFonts w:ascii="宋体" w:hAnsi="宋体" w:hint="eastAsia"/>
                <w:color w:val="000000"/>
                <w:sz w:val="22"/>
              </w:rPr>
              <w:t>1</w:t>
            </w:r>
            <w:r>
              <w:rPr>
                <w:rFonts w:ascii="宋体" w:hAnsi="宋体" w:hint="eastAsia"/>
                <w:color w:val="000000"/>
                <w:sz w:val="22"/>
              </w:rPr>
              <w:t>、</w:t>
            </w:r>
            <w:r w:rsidRPr="00CE27ED">
              <w:rPr>
                <w:rFonts w:ascii="宋体" w:hAnsi="宋体" w:hint="eastAsia"/>
                <w:color w:val="000000"/>
                <w:sz w:val="22"/>
              </w:rPr>
              <w:t>标准机架式1U设备；</w:t>
            </w:r>
            <w:r w:rsidRPr="00CE27ED">
              <w:rPr>
                <w:rFonts w:ascii="宋体" w:hAnsi="宋体" w:hint="eastAsia"/>
                <w:color w:val="000000"/>
                <w:sz w:val="22"/>
              </w:rPr>
              <w:br/>
              <w:t>2、吞吐量≥20Gbps，最大并发连接数≥800万，每秒新建连接数≥20万，IPSec吞吐量≥20Gbps；</w:t>
            </w:r>
            <w:r w:rsidRPr="00CE27ED">
              <w:rPr>
                <w:rFonts w:ascii="宋体" w:hAnsi="宋体" w:hint="eastAsia"/>
                <w:color w:val="000000"/>
                <w:sz w:val="22"/>
              </w:rPr>
              <w:br/>
              <w:t>3、设备实现前后风道，支持风扇、电源冗余、可热插拔；</w:t>
            </w:r>
            <w:r w:rsidRPr="00CE27ED">
              <w:rPr>
                <w:rFonts w:ascii="宋体" w:hAnsi="宋体" w:hint="eastAsia"/>
                <w:color w:val="000000"/>
                <w:sz w:val="22"/>
              </w:rPr>
              <w:br/>
              <w:t>4、能够基于IP、IPv6、MAC地址、时间进行访问控制策略控制;实现自定义安全策略，安全策略组功能；实现策略冗余/命中分析；</w:t>
            </w:r>
            <w:r w:rsidRPr="00CE27ED">
              <w:rPr>
                <w:rFonts w:ascii="宋体" w:hAnsi="宋体" w:hint="eastAsia"/>
                <w:color w:val="000000"/>
                <w:sz w:val="22"/>
              </w:rPr>
              <w:br/>
              <w:t>5、实现静态路由、策略路由、RIP、OSPF、BGP、ISIS等路由协议；</w:t>
            </w:r>
            <w:r w:rsidRPr="00CE27ED">
              <w:rPr>
                <w:rFonts w:ascii="宋体" w:hAnsi="宋体" w:hint="eastAsia"/>
                <w:color w:val="000000"/>
                <w:sz w:val="22"/>
              </w:rPr>
              <w:br/>
              <w:t>6</w:t>
            </w:r>
            <w:r>
              <w:rPr>
                <w:rFonts w:ascii="宋体" w:hAnsi="宋体" w:hint="eastAsia"/>
                <w:color w:val="000000"/>
                <w:sz w:val="22"/>
              </w:rPr>
              <w:t>、</w:t>
            </w:r>
            <w:r w:rsidRPr="00CE27ED">
              <w:rPr>
                <w:rFonts w:ascii="宋体" w:hAnsi="宋体" w:hint="eastAsia"/>
                <w:color w:val="000000"/>
                <w:sz w:val="22"/>
              </w:rPr>
              <w:t>实现基于地理位置的流量和威胁分析；每IP，每用户的最大连接数限制；</w:t>
            </w:r>
            <w:r w:rsidRPr="00CE27ED">
              <w:rPr>
                <w:rFonts w:ascii="宋体" w:hAnsi="宋体" w:hint="eastAsia"/>
                <w:color w:val="000000"/>
                <w:sz w:val="22"/>
              </w:rPr>
              <w:br/>
              <w:t>7</w:t>
            </w:r>
            <w:r>
              <w:rPr>
                <w:rFonts w:ascii="宋体" w:hAnsi="宋体" w:hint="eastAsia"/>
                <w:color w:val="000000"/>
                <w:sz w:val="22"/>
              </w:rPr>
              <w:t>、</w:t>
            </w:r>
            <w:r w:rsidRPr="00CE27ED">
              <w:rPr>
                <w:rFonts w:ascii="宋体" w:hAnsi="宋体" w:hint="eastAsia"/>
                <w:color w:val="000000"/>
                <w:sz w:val="22"/>
              </w:rPr>
              <w:t>要求防火墙具备AI引擎，用于DGA域名请求检测、用于恶意C&amp;C流量检测、用于ECA恶意加密流量识别</w:t>
            </w:r>
            <w:r>
              <w:rPr>
                <w:rFonts w:ascii="宋体" w:hAnsi="宋体" w:hint="eastAsia"/>
                <w:color w:val="000000"/>
                <w:sz w:val="22"/>
              </w:rPr>
              <w:t>；</w:t>
            </w:r>
            <w:r w:rsidRPr="00CE27ED">
              <w:rPr>
                <w:rFonts w:ascii="宋体" w:hAnsi="宋体" w:hint="eastAsia"/>
                <w:color w:val="000000"/>
                <w:sz w:val="22"/>
              </w:rPr>
              <w:br/>
              <w:t>8</w:t>
            </w:r>
            <w:r>
              <w:rPr>
                <w:rFonts w:ascii="宋体" w:hAnsi="宋体" w:hint="eastAsia"/>
                <w:color w:val="000000"/>
                <w:sz w:val="22"/>
              </w:rPr>
              <w:t>、</w:t>
            </w:r>
            <w:r w:rsidRPr="00CE27ED">
              <w:rPr>
                <w:rFonts w:ascii="宋体" w:hAnsi="宋体" w:hint="eastAsia"/>
                <w:color w:val="000000"/>
                <w:sz w:val="22"/>
              </w:rPr>
              <w:t>本次配置要求：千兆电口≥12，千兆光口≥8，万兆光口≥4，实配三年威胁防护服务（含IPS/AV/URL/云沙箱授权），SSL VPN并发数实配100，配置2个电源；</w:t>
            </w:r>
          </w:p>
          <w:p w:rsidR="00AC655C"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2</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5</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备份一体机</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1、2U机架式，配备64位Intel八核处理器、32GB高速缓存、</w:t>
            </w:r>
            <w:r w:rsidRPr="00F416F3">
              <w:rPr>
                <w:rFonts w:ascii="宋体" w:hAnsi="宋体" w:hint="eastAsia"/>
                <w:color w:val="000000"/>
                <w:sz w:val="22"/>
              </w:rPr>
              <w:lastRenderedPageBreak/>
              <w:t>千兆网口≥2、万兆口≥2；提供RAID0,1,10,5,50,6,60等多种RAID级别，并具备热备盘；提供Raid掉电保护，防止突然断电造成RAID系统数据及缓存数据丢失，掉电保护时间需≥72小时，并支持全局热备盘；本次配置≥12块6TB企业级SATA硬盘；</w:t>
            </w:r>
            <w:r w:rsidRPr="00F416F3">
              <w:rPr>
                <w:rFonts w:ascii="宋体" w:hAnsi="宋体" w:hint="eastAsia"/>
                <w:color w:val="000000"/>
                <w:sz w:val="22"/>
              </w:rPr>
              <w:br/>
              <w:t>2、要求设备系统和软件安装在2块（RAID 1）≥240GB企业级SSD磁盘上，不允许占用前面板的槽位。</w:t>
            </w:r>
            <w:r w:rsidRPr="00F416F3">
              <w:rPr>
                <w:rFonts w:ascii="宋体" w:hAnsi="宋体" w:hint="eastAsia"/>
                <w:color w:val="000000"/>
                <w:sz w:val="22"/>
              </w:rPr>
              <w:br/>
              <w:t>3、实现Windows文件系统的卷级备份功能，以整卷为单位进行数据备份，提升海量小文件环境下的备份效率。实现整卷恢复和单文件目录级别的细粒度恢复；</w:t>
            </w:r>
            <w:r w:rsidRPr="00F416F3">
              <w:rPr>
                <w:rFonts w:ascii="宋体" w:hAnsi="宋体" w:hint="eastAsia"/>
                <w:color w:val="000000"/>
                <w:sz w:val="22"/>
              </w:rPr>
              <w:br/>
              <w:t>4、实现对VMware vSphere、XenServer、H3C CAS、华为Fusionsphere等主流虚拟化应用的备份，实现单机和集群部署环境。以上虚拟化应用均实现以虚拟机、资源池和整个集群为单位进行备份保护保护，无需在虚拟机内部安装任何代理软件；</w:t>
            </w:r>
            <w:r w:rsidRPr="00F416F3">
              <w:rPr>
                <w:rFonts w:ascii="宋体" w:hAnsi="宋体" w:hint="eastAsia"/>
                <w:color w:val="000000"/>
                <w:sz w:val="22"/>
              </w:rPr>
              <w:t xml:space="preserve"> </w:t>
            </w:r>
            <w:r w:rsidRPr="00F416F3">
              <w:rPr>
                <w:rFonts w:ascii="宋体" w:hAnsi="宋体" w:hint="eastAsia"/>
                <w:color w:val="000000"/>
                <w:sz w:val="22"/>
              </w:rPr>
              <w:br/>
              <w:t xml:space="preserve">5、Oracle数据库备份支持自定义脚本，实现RMAN备份参数的图形化配置； </w:t>
            </w:r>
            <w:r w:rsidRPr="00F416F3">
              <w:rPr>
                <w:rFonts w:ascii="宋体" w:hAnsi="宋体" w:hint="eastAsia"/>
                <w:color w:val="000000"/>
                <w:sz w:val="22"/>
              </w:rPr>
              <w:br/>
              <w:t>6、实现虚拟机并发备份和恢复功能，实现在WEB页面中设置单个备份和恢复任务中的虚拟机并发备份和恢复数量，可设置≥10个虚拟机并发数量，可大幅提高备份恢复效率；</w:t>
            </w:r>
            <w:r w:rsidRPr="00F416F3">
              <w:rPr>
                <w:rFonts w:ascii="宋体" w:hAnsi="宋体" w:hint="eastAsia"/>
                <w:color w:val="000000"/>
                <w:sz w:val="22"/>
              </w:rPr>
              <w:br/>
              <w:t>7、虚拟机恢复时实现选择目标集群、资源池和存储资源，实现原位置恢复和恢复为新虚拟机，能够设置恢复后虚拟机的CPU、内存和网络配置。实现保留源虚拟机MAC地址恢复，实现恢复后自动打开虚拟机；</w:t>
            </w:r>
            <w:r w:rsidRPr="00F416F3">
              <w:rPr>
                <w:rFonts w:ascii="宋体" w:hAnsi="宋体" w:hint="eastAsia"/>
                <w:color w:val="000000"/>
                <w:sz w:val="22"/>
              </w:rPr>
              <w:br/>
              <w:t>8、实现永久增量备份技术，初次备份对所有数据进行完全备</w:t>
            </w:r>
            <w:r w:rsidRPr="00F416F3">
              <w:rPr>
                <w:rFonts w:ascii="宋体" w:hAnsi="宋体" w:hint="eastAsia"/>
                <w:color w:val="000000"/>
                <w:sz w:val="22"/>
              </w:rPr>
              <w:lastRenderedPageBreak/>
              <w:t>份，之后只对新增加或改动过的数据做增量备份。每个增量备份的数据副本将自动合成为完全副本，能够大幅度减少备份时间，节省备份数据所需的存储空间，且提升了恢复效率</w:t>
            </w:r>
            <w:r>
              <w:rPr>
                <w:rFonts w:ascii="宋体" w:hAnsi="宋体" w:hint="eastAsia"/>
                <w:color w:val="000000"/>
                <w:sz w:val="22"/>
              </w:rPr>
              <w:t>；</w:t>
            </w:r>
            <w:r w:rsidRPr="00F416F3">
              <w:rPr>
                <w:rFonts w:ascii="宋体" w:hAnsi="宋体" w:hint="eastAsia"/>
                <w:color w:val="000000"/>
                <w:sz w:val="22"/>
              </w:rPr>
              <w:br/>
              <w:t>9、实现对备份数据进行加密传输和存储，至少实现AES256和SM4两种加密算法，提升传输过程以及存储的安全性；</w:t>
            </w:r>
            <w:r w:rsidRPr="00F416F3">
              <w:rPr>
                <w:rFonts w:ascii="宋体" w:hAnsi="宋体" w:hint="eastAsia"/>
                <w:color w:val="000000"/>
                <w:sz w:val="22"/>
              </w:rPr>
              <w:br/>
              <w:t>10、所有数据恢复任务最后一步，均需要操作者在提示界面确认，避免误操作；</w:t>
            </w:r>
            <w:r w:rsidRPr="00F416F3">
              <w:rPr>
                <w:rFonts w:ascii="宋体" w:hAnsi="宋体" w:hint="eastAsia"/>
                <w:color w:val="000000"/>
                <w:sz w:val="22"/>
              </w:rPr>
              <w:br/>
              <w:t>11、实现系统管理员，审计管理员、安全管理员、租户,操作员和巡检员六类角色，通过分权管理，提升备份系统的管理安全性；</w:t>
            </w:r>
            <w:r w:rsidRPr="00F416F3">
              <w:rPr>
                <w:rFonts w:ascii="宋体" w:hAnsi="宋体" w:hint="eastAsia"/>
                <w:color w:val="000000"/>
                <w:sz w:val="22"/>
              </w:rPr>
              <w:br/>
              <w:t>12、软件许可：Windows和Linux平台下的定时备份，不限制需要备份的服务器、PC机、虚拟机的数量，不限制数据库的数量与类型；</w:t>
            </w:r>
          </w:p>
          <w:p w:rsidR="00AC655C" w:rsidRPr="00F416F3"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6</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Web应用防火墙</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1、网络层吞吐量≥6Gbps，HTTP新建连接数≥6万，HTTP并发连接数≥180万，内存≥4G，配置不少于6个10/100/1000M Base-TX接口；4个SFP接口；</w:t>
            </w:r>
            <w:r w:rsidRPr="00F416F3">
              <w:rPr>
                <w:rFonts w:ascii="宋体" w:hAnsi="宋体" w:hint="eastAsia"/>
                <w:color w:val="000000"/>
                <w:sz w:val="22"/>
              </w:rPr>
              <w:br/>
              <w:t>2、产品采用多核并行处理架构；</w:t>
            </w:r>
            <w:r w:rsidRPr="00F416F3">
              <w:rPr>
                <w:rFonts w:ascii="宋体" w:hAnsi="宋体" w:hint="eastAsia"/>
                <w:color w:val="000000"/>
                <w:sz w:val="22"/>
              </w:rPr>
              <w:br/>
              <w:t>3、实现虚拟网线部署、透明部署、路由部署、旁路镜像等多种部署方式，适应复杂使用环境的接入要求；</w:t>
            </w:r>
            <w:r w:rsidRPr="00F416F3">
              <w:rPr>
                <w:rFonts w:ascii="宋体" w:hAnsi="宋体" w:hint="eastAsia"/>
                <w:color w:val="000000"/>
                <w:sz w:val="22"/>
              </w:rPr>
              <w:br/>
              <w:t>4、实现通过被动扫描功能，业务系统进行黑链检测、Webshell检测、漏洞风险检测、配置风险检测、弱口令账户检测。</w:t>
            </w:r>
            <w:r w:rsidRPr="00F416F3">
              <w:rPr>
                <w:rFonts w:ascii="宋体" w:hAnsi="宋体" w:hint="eastAsia"/>
                <w:color w:val="000000"/>
                <w:sz w:val="22"/>
              </w:rPr>
              <w:br/>
              <w:t>5、实现口令暴力破解防护，至少包含FTP、Web、Weblogic、Zabbix、Wordpress、Tomcat等组件，并实现自定义FTP和Web的爆破阈值设置；</w:t>
            </w:r>
            <w:r w:rsidRPr="00F416F3">
              <w:rPr>
                <w:rFonts w:ascii="宋体" w:hAnsi="宋体" w:hint="eastAsia"/>
                <w:color w:val="000000"/>
                <w:sz w:val="22"/>
              </w:rPr>
              <w:br/>
              <w:t>6、实现业务模型学习监督功能，</w:t>
            </w:r>
            <w:r w:rsidRPr="00F416F3">
              <w:rPr>
                <w:rFonts w:ascii="宋体" w:hAnsi="宋体" w:hint="eastAsia"/>
                <w:color w:val="000000"/>
                <w:sz w:val="22"/>
              </w:rPr>
              <w:lastRenderedPageBreak/>
              <w:t>通过智能分析引擎对业务流量进行分析学习，建立用户业务特征模型，解决因WEB应用中因代码不规范和安全检测功能冲突导致的业务误判问题；</w:t>
            </w:r>
            <w:r w:rsidRPr="00F416F3">
              <w:rPr>
                <w:rFonts w:ascii="宋体" w:hAnsi="宋体" w:hint="eastAsia"/>
                <w:color w:val="000000"/>
                <w:sz w:val="22"/>
              </w:rPr>
              <w:br/>
              <w:t>7、实现主动扫描功能，实现识别网站目录结构，实现自定义扫描模板，实现在扫描模板中自定义扫描限制、扫描代理、自定义404页面规则、爬虫限制、测试项目。</w:t>
            </w:r>
            <w:r w:rsidRPr="00F416F3">
              <w:rPr>
                <w:rFonts w:ascii="宋体" w:hAnsi="宋体" w:hint="eastAsia"/>
                <w:color w:val="000000"/>
                <w:sz w:val="22"/>
              </w:rPr>
              <w:br/>
              <w:t>8、实现识别HTTP异常，包含HTTP方法过滤、HTTP头部字段Referer、User-Agent等注入检测、Host检测、URL溢出检测、POST实体溢出检测、HTTP头部溢出检测、range字段防护、multipart头部字段异常检测、Content-Type头部字段异常检测；</w:t>
            </w:r>
            <w:r w:rsidRPr="00F416F3">
              <w:rPr>
                <w:rFonts w:ascii="宋体" w:hAnsi="宋体" w:hint="eastAsia"/>
                <w:color w:val="000000"/>
                <w:sz w:val="22"/>
              </w:rPr>
              <w:br/>
              <w:t>9、实现超过3700种Web应用防护规则。</w:t>
            </w:r>
            <w:r w:rsidRPr="00F416F3">
              <w:rPr>
                <w:rFonts w:ascii="宋体" w:hAnsi="宋体" w:hint="eastAsia"/>
                <w:color w:val="000000"/>
                <w:sz w:val="22"/>
              </w:rPr>
              <w:br/>
              <w:t>10、实现网站防篡改功能，实现Windows和Linux双平台操作系统，防止攻击者篡改文件系统；</w:t>
            </w:r>
            <w:r w:rsidRPr="00F416F3">
              <w:rPr>
                <w:rFonts w:ascii="宋体" w:hAnsi="宋体" w:hint="eastAsia"/>
                <w:color w:val="000000"/>
                <w:sz w:val="22"/>
              </w:rPr>
              <w:br/>
              <w:t>11、实现针对业务风险汇总，实现展示业务安全状态分布，包括已失陷业务、正在遭受攻击的业务、存在漏洞但暂时未被攻击的业务，以及最近7天内的漏洞风险分布情况；</w:t>
            </w:r>
            <w:r w:rsidRPr="00F416F3">
              <w:rPr>
                <w:rFonts w:ascii="宋体" w:hAnsi="宋体" w:hint="eastAsia"/>
                <w:color w:val="000000"/>
                <w:sz w:val="22"/>
              </w:rPr>
              <w:br/>
              <w:t>12、实现以安全策略模板方式快速部署安全策略，安全策略模板支持默认模板和自定义模板等多种格式；</w:t>
            </w:r>
          </w:p>
          <w:p w:rsidR="00AC655C" w:rsidRPr="00F416F3"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7</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堡垒机</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1、包含运维授权数≥50，可扩展资产数≥150，图形运维最大并发数≥100，字符运维最大并发数≥200。内存大小≥4G，硬盘容量≥1T SATA，配置6个10/100/1000M Base-TX接口；</w:t>
            </w:r>
            <w:r w:rsidRPr="00F416F3">
              <w:rPr>
                <w:rFonts w:ascii="宋体" w:hAnsi="宋体" w:hint="eastAsia"/>
                <w:color w:val="000000"/>
                <w:sz w:val="22"/>
              </w:rPr>
              <w:br/>
              <w:t>2、物理旁路单臂部署，以逻辑网关方式工作；不改变现有网络</w:t>
            </w:r>
            <w:r w:rsidRPr="00F416F3">
              <w:rPr>
                <w:rFonts w:ascii="宋体" w:hAnsi="宋体" w:hint="eastAsia"/>
                <w:color w:val="000000"/>
                <w:sz w:val="22"/>
              </w:rPr>
              <w:lastRenderedPageBreak/>
              <w:t>结构；</w:t>
            </w:r>
            <w:r w:rsidRPr="00F416F3">
              <w:rPr>
                <w:rFonts w:ascii="宋体" w:hAnsi="宋体" w:hint="eastAsia"/>
                <w:color w:val="000000"/>
                <w:sz w:val="22"/>
              </w:rPr>
              <w:br/>
              <w:t>3、实现字符协议：SSHv1、SSHv2、TELNET，图形协议：RDP、VNC，文件传输协议：FTP、SFTP、RDP磁盘映射、RDP剪切板等；</w:t>
            </w:r>
            <w:r w:rsidRPr="00F416F3">
              <w:rPr>
                <w:rFonts w:ascii="宋体" w:hAnsi="宋体" w:hint="eastAsia"/>
                <w:color w:val="000000"/>
                <w:sz w:val="22"/>
              </w:rPr>
              <w:br/>
              <w:t>4、实现通过动作流配置提供广泛的应用接入支持，无论被接入的资源如何设计登录动作，通过动作流配置都可以实现单点登陆和审计接入；</w:t>
            </w:r>
            <w:r w:rsidRPr="00F416F3">
              <w:rPr>
                <w:rFonts w:ascii="宋体" w:hAnsi="宋体" w:hint="eastAsia"/>
                <w:color w:val="000000"/>
                <w:sz w:val="22"/>
              </w:rPr>
              <w:br/>
              <w:t>5、用户登陆认证方式实现静态口令认证、手机动态口令认证、Usbkey（数字证书）认证、AD域认证、Radius认证等认证方式；并实现各种认证方式和静态口令组合认证；</w:t>
            </w:r>
            <w:r w:rsidRPr="00F416F3">
              <w:rPr>
                <w:rFonts w:ascii="宋体" w:hAnsi="宋体" w:hint="eastAsia"/>
                <w:color w:val="000000"/>
                <w:sz w:val="22"/>
              </w:rPr>
              <w:br/>
              <w:t>6、内置三员角色的同时实现角色灵活自定义，可根据用户实际的管理特性或特殊的安全管理组织架构，划分管理角色的管理范畴；</w:t>
            </w:r>
            <w:r w:rsidRPr="00F416F3">
              <w:rPr>
                <w:rFonts w:ascii="宋体" w:hAnsi="宋体" w:hint="eastAsia"/>
                <w:color w:val="000000"/>
                <w:sz w:val="22"/>
              </w:rPr>
              <w:br/>
              <w:t>7、实现RDP安全模式（RDP、NLA、TLS、ANY）设置，以适应RDP-Tcp属性中的所有功能配置，包括加密级别为客户端兼容、低、高、符合FIPS标准等加密级别；</w:t>
            </w:r>
            <w:r w:rsidRPr="00F416F3">
              <w:rPr>
                <w:rFonts w:ascii="宋体" w:hAnsi="宋体" w:hint="eastAsia"/>
                <w:color w:val="000000"/>
                <w:sz w:val="22"/>
              </w:rPr>
              <w:br/>
              <w:t>8、实现配置资源访问时间规则，即使授权范围内的资源，需在指定时间范围内才可发起访问，确保运维在可信时间范围；</w:t>
            </w:r>
            <w:r w:rsidRPr="00F416F3">
              <w:rPr>
                <w:rFonts w:ascii="宋体" w:hAnsi="宋体" w:hint="eastAsia"/>
                <w:color w:val="000000"/>
                <w:sz w:val="22"/>
              </w:rPr>
              <w:br/>
              <w:t>9、实现倍速播放、拖动、暂停、停止、重新播放等播放控制操作，并可以指定时间点定位播放位置；</w:t>
            </w:r>
            <w:r w:rsidRPr="00F416F3">
              <w:rPr>
                <w:rFonts w:ascii="宋体" w:hAnsi="宋体" w:hint="eastAsia"/>
                <w:color w:val="000000"/>
                <w:sz w:val="22"/>
              </w:rPr>
              <w:br/>
              <w:t>10、实现跨部门的交叉授权操作，部门资源管理员可将本部门资源授权给其他部门用户，实现资源临时/长期跨部门访问；</w:t>
            </w:r>
            <w:r w:rsidRPr="00F416F3">
              <w:rPr>
                <w:rFonts w:ascii="宋体" w:hAnsi="宋体" w:hint="eastAsia"/>
                <w:color w:val="000000"/>
                <w:sz w:val="22"/>
              </w:rPr>
              <w:br/>
              <w:t>11、全面实现Windows、linux、国产麒麟系统、Android、IOS、Mac OS等客户端操作系统下的H5页面一站式运维，实现跨终端适应性BYOD（Bring Your Own Device）；</w:t>
            </w:r>
          </w:p>
          <w:p w:rsidR="00AC655C" w:rsidRPr="00F416F3"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8</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漏洞扫描</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1、系统漏扫授权IP数≥100，主机漏扫最大并发IP数≥70，内存大小≥8G，硬盘容量不低于128GB SSD，1TB SATA，配置6个10/100/1000M Base-TX接口，2个SFP接口；</w:t>
            </w:r>
            <w:r w:rsidRPr="00F416F3">
              <w:rPr>
                <w:rFonts w:ascii="宋体" w:hAnsi="宋体" w:hint="eastAsia"/>
                <w:color w:val="000000"/>
                <w:sz w:val="22"/>
              </w:rPr>
              <w:br/>
              <w:t>2、采用有自主知识产权的安全操作系统，采用B/S设计架构，并采用SSL加密通信方式，无须安装客户端，用户可通过浏览器远程方便的对产品进行管理；</w:t>
            </w:r>
            <w:r w:rsidRPr="00F416F3">
              <w:rPr>
                <w:rFonts w:ascii="宋体" w:hAnsi="宋体" w:hint="eastAsia"/>
                <w:color w:val="000000"/>
                <w:sz w:val="22"/>
              </w:rPr>
              <w:br/>
              <w:t>3、实现全局风险统计功能，通过扇形图、条状图、标签、表格等形式直观展示资产风险分布、漏洞风险等级分布、紧急漏洞、风险资产清单等信息，并可查看详情；</w:t>
            </w:r>
            <w:r w:rsidRPr="00F416F3">
              <w:rPr>
                <w:rFonts w:ascii="宋体" w:hAnsi="宋体" w:hint="eastAsia"/>
                <w:color w:val="000000"/>
                <w:sz w:val="22"/>
              </w:rPr>
              <w:br/>
              <w:t>4、实现同时开启全插件系统漏洞扫描、WEB漏洞扫描、弱口令扫描、基线配置核查，扫描速度不低于1000ip/h；</w:t>
            </w:r>
            <w:r w:rsidRPr="00F416F3">
              <w:rPr>
                <w:rFonts w:ascii="宋体" w:hAnsi="宋体" w:hint="eastAsia"/>
                <w:color w:val="000000"/>
                <w:sz w:val="22"/>
              </w:rPr>
              <w:br/>
              <w:t>5、实现从“高危”、“中危”、“低危”、“安全”四个安全级别展示资产的风险分布情况；</w:t>
            </w:r>
            <w:r w:rsidRPr="00F416F3">
              <w:rPr>
                <w:rFonts w:ascii="宋体" w:hAnsi="宋体" w:hint="eastAsia"/>
                <w:color w:val="000000"/>
                <w:sz w:val="22"/>
              </w:rPr>
              <w:br/>
              <w:t>6、实现从紧急漏洞的视角展示主机风险，清晰呈现已发生和未发生的紧急漏洞类型，实现以报表形式展示紧急漏洞的风险等级、影响资产数、漏洞数量、最近发现时间，可关联漏洞详情；</w:t>
            </w:r>
            <w:r w:rsidRPr="00F416F3">
              <w:rPr>
                <w:rFonts w:ascii="宋体" w:hAnsi="宋体" w:hint="eastAsia"/>
                <w:color w:val="000000"/>
                <w:sz w:val="22"/>
              </w:rPr>
              <w:br/>
              <w:t>7、实现信息泄漏类漏洞检测，如：mail地址、敏感目录暴露、内部IP地址、会话令牌、源码、数据库备份文件、SVN文件、系统重要配置、日志文件向外网泄漏等；</w:t>
            </w:r>
            <w:r w:rsidRPr="00F416F3">
              <w:rPr>
                <w:rFonts w:ascii="宋体" w:hAnsi="宋体" w:hint="eastAsia"/>
                <w:color w:val="000000"/>
                <w:sz w:val="22"/>
              </w:rPr>
              <w:br/>
              <w:t>8、实现快速扫描、资产发现、系统漏洞扫描、弱口令扫描、WEB漏洞扫描、基线配置核查六种任务类型，其中快速扫描支持系统漏洞扫描、WEB漏洞扫描、弱口令扫描同时执行；</w:t>
            </w:r>
            <w:r w:rsidRPr="00F416F3">
              <w:rPr>
                <w:rFonts w:ascii="宋体" w:hAnsi="宋体" w:hint="eastAsia"/>
                <w:color w:val="000000"/>
                <w:sz w:val="22"/>
              </w:rPr>
              <w:br/>
              <w:t>9、实现对Windows、Linux等操</w:t>
            </w:r>
            <w:r w:rsidRPr="00F416F3">
              <w:rPr>
                <w:rFonts w:ascii="宋体" w:hAnsi="宋体" w:hint="eastAsia"/>
                <w:color w:val="000000"/>
                <w:sz w:val="22"/>
              </w:rPr>
              <w:lastRenderedPageBreak/>
              <w:t>作系统按照等保二级、等保三级要求实施基线配置核查；</w:t>
            </w:r>
            <w:r w:rsidRPr="00F416F3">
              <w:rPr>
                <w:rFonts w:ascii="宋体" w:hAnsi="宋体" w:hint="eastAsia"/>
                <w:color w:val="000000"/>
                <w:sz w:val="22"/>
              </w:rPr>
              <w:br/>
              <w:t>10、实现报表过滤功能，实现从任务类型、任务/资产、风险等级、漏洞/基线类型等角度筛选和过滤报表生成条件；</w:t>
            </w:r>
            <w:r w:rsidRPr="00F416F3">
              <w:rPr>
                <w:rFonts w:ascii="宋体" w:hAnsi="宋体" w:hint="eastAsia"/>
                <w:color w:val="000000"/>
                <w:sz w:val="22"/>
              </w:rPr>
              <w:br/>
              <w:t>11、实现查看系统CPU、内存、磁盘资源的使用情况，实现系统设备状态的实时监控、一键式关机和重启；</w:t>
            </w:r>
            <w:r w:rsidRPr="00F416F3">
              <w:rPr>
                <w:rFonts w:ascii="宋体" w:hAnsi="宋体" w:hint="eastAsia"/>
                <w:color w:val="000000"/>
                <w:sz w:val="22"/>
              </w:rPr>
              <w:br/>
              <w:t>12、系统实现ping、curl、traceroute、dig、nmap等工具；</w:t>
            </w:r>
            <w:r w:rsidRPr="00F416F3">
              <w:rPr>
                <w:rFonts w:ascii="宋体" w:hAnsi="宋体" w:hint="eastAsia"/>
                <w:color w:val="000000"/>
                <w:sz w:val="22"/>
              </w:rPr>
              <w:br/>
              <w:t>13、产品实现对系统漏洞、WEB漏洞、基线配置、弱口令进行扫描和分析，可同时输出包含系统漏洞扫描、WEB漏洞扫描、基线配置核查、弱口令扫描结果的报表；</w:t>
            </w:r>
          </w:p>
          <w:p w:rsidR="00AC655C" w:rsidRPr="00F416F3"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9</w:t>
            </w:r>
          </w:p>
        </w:tc>
        <w:tc>
          <w:tcPr>
            <w:tcW w:w="112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日志审计</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1、机架式,6个千兆电口，50日志源授权，综合采集处理均值3000EPS</w:t>
            </w:r>
            <w:r w:rsidRPr="00F416F3">
              <w:rPr>
                <w:rFonts w:ascii="宋体" w:hAnsi="宋体" w:hint="eastAsia"/>
                <w:color w:val="000000"/>
                <w:sz w:val="22"/>
              </w:rPr>
              <w:br/>
              <w:t>2、实现根据设备重要程度设置独立设置每个被采集源的日志、报表数据存储时间为1个月、3个月、6个月和永久保存等参数；</w:t>
            </w:r>
            <w:r w:rsidRPr="00F416F3">
              <w:rPr>
                <w:rFonts w:ascii="宋体" w:hAnsi="宋体" w:hint="eastAsia"/>
                <w:color w:val="000000"/>
                <w:sz w:val="22"/>
              </w:rPr>
              <w:br/>
              <w:t>3、实现百亿级数据交互式多条件查询，百亿级数据查询响应时间小于10s；数据存储能力：压缩加密存储，压缩比不低10:1，日志存储不低于10000条/M；</w:t>
            </w:r>
            <w:r w:rsidRPr="00F416F3">
              <w:rPr>
                <w:rFonts w:ascii="宋体" w:hAnsi="宋体" w:hint="eastAsia"/>
                <w:color w:val="000000"/>
                <w:sz w:val="22"/>
              </w:rPr>
              <w:br/>
              <w:t>4、实现安全设备、网络设备、中间件、服务器、数据库、操作系统、业务系统等不少于26类300种日志对象的日志数据采集；</w:t>
            </w:r>
            <w:r w:rsidRPr="00F416F3">
              <w:rPr>
                <w:rFonts w:ascii="宋体" w:hAnsi="宋体" w:hint="eastAsia"/>
                <w:color w:val="000000"/>
                <w:sz w:val="22"/>
              </w:rPr>
              <w:br/>
              <w:t xml:space="preserve">5、实现对日志流量非常大但是日志重要程度低的syslog类型日志源进行限制接收速率，降低对系统资源的占用，保障重要日志的收集；  </w:t>
            </w:r>
            <w:r w:rsidRPr="00F416F3">
              <w:rPr>
                <w:rFonts w:ascii="宋体" w:hAnsi="宋体" w:hint="eastAsia"/>
                <w:color w:val="000000"/>
                <w:sz w:val="22"/>
              </w:rPr>
              <w:br/>
              <w:t xml:space="preserve">6、实现主动、被动相结合的数据采集方式；支持Syslog、SNMP </w:t>
            </w:r>
            <w:r w:rsidRPr="00F416F3">
              <w:rPr>
                <w:rFonts w:ascii="宋体" w:hAnsi="宋体" w:hint="eastAsia"/>
                <w:color w:val="000000"/>
                <w:sz w:val="22"/>
              </w:rPr>
              <w:lastRenderedPageBreak/>
              <w:t>Trap、Netflow、JDBC、WMI、FTP、SFTP、SCP、文件等方式进行数据采集；实现通过Agent采集日志数据；</w:t>
            </w:r>
            <w:r w:rsidRPr="00F416F3">
              <w:rPr>
                <w:rFonts w:ascii="宋体" w:hAnsi="宋体" w:hint="eastAsia"/>
                <w:color w:val="000000"/>
                <w:sz w:val="22"/>
              </w:rPr>
              <w:br/>
              <w:t>7、实现日志归一化处理，将不同设备所产生的不同格式的难以理解的日志数据进行统一格式化处理，提炼出有用信息清晰、明确的展示给管理者；</w:t>
            </w:r>
            <w:r w:rsidRPr="00F416F3">
              <w:rPr>
                <w:rFonts w:ascii="宋体" w:hAnsi="宋体" w:hint="eastAsia"/>
                <w:color w:val="000000"/>
                <w:sz w:val="22"/>
              </w:rPr>
              <w:br/>
              <w:t>8、实现首页以全国地图、全球地图展示最近24小时日志访问源和访问目的的分布，能根据颜色区分访问来源和访问目的数据量大小，能够通过首页地图快速下钻查询指定区域的日志详细信息；</w:t>
            </w:r>
            <w:r w:rsidRPr="00F416F3">
              <w:rPr>
                <w:rFonts w:ascii="宋体" w:hAnsi="宋体" w:hint="eastAsia"/>
                <w:color w:val="000000"/>
                <w:sz w:val="22"/>
              </w:rPr>
              <w:br/>
              <w:t>9、实现实时自动刷新每个日志源的实时日志列表，实现在实时日志界面通过选择过滤器来监视所关注的特定类型的日志；</w:t>
            </w:r>
            <w:r w:rsidRPr="00F416F3">
              <w:rPr>
                <w:rFonts w:ascii="宋体" w:hAnsi="宋体" w:hint="eastAsia"/>
                <w:color w:val="000000"/>
                <w:sz w:val="22"/>
              </w:rPr>
              <w:br/>
              <w:t>10、实现首页展示日志采集总量统计，可按不同日志源种类分类显示日志总量及大小，并支持导出；</w:t>
            </w:r>
            <w:r w:rsidRPr="00F416F3">
              <w:rPr>
                <w:rFonts w:ascii="宋体" w:hAnsi="宋体" w:hint="eastAsia"/>
                <w:color w:val="000000"/>
                <w:sz w:val="22"/>
              </w:rPr>
              <w:br/>
              <w:t>11、实现独立展示每个被采集源最近24小时的日志数量趋势，便于掌握设备的安全事件情况，实现独立展示每个设备日志的最新采集时间，便于了解设备日志的采集状态；</w:t>
            </w:r>
            <w:r w:rsidRPr="00F416F3">
              <w:rPr>
                <w:rFonts w:ascii="宋体" w:hAnsi="宋体" w:hint="eastAsia"/>
                <w:color w:val="000000"/>
                <w:sz w:val="22"/>
              </w:rPr>
              <w:br/>
              <w:t>12、实现对文本类型日志源进行限速采集，匀速采集日志，防止对系统资源产生突发冲击；</w:t>
            </w:r>
            <w:r w:rsidRPr="00F416F3">
              <w:rPr>
                <w:rFonts w:ascii="宋体" w:hAnsi="宋体" w:hint="eastAsia"/>
                <w:color w:val="000000"/>
                <w:sz w:val="22"/>
              </w:rPr>
              <w:br/>
              <w:t>13、实现IPv6/IPv4双栈环境部署，对IPv6/IPv4日志源的日志进行采集，实现标准协议下（Syslog）的IPv6日志采集，实现IPv6日志的查询、统计和存储。</w:t>
            </w:r>
            <w:r w:rsidRPr="00F416F3">
              <w:rPr>
                <w:rFonts w:ascii="宋体" w:hAnsi="宋体" w:hint="eastAsia"/>
                <w:color w:val="000000"/>
                <w:sz w:val="22"/>
              </w:rPr>
              <w:br/>
              <w:t>14、实现对重点日志源的关注设置，并可通过关注列表快速查看重点日志源的状态、当日日志量、采集日志总量、最近接收时间、业务组等基础信息；</w:t>
            </w:r>
            <w:r w:rsidRPr="00F416F3">
              <w:rPr>
                <w:rFonts w:ascii="宋体" w:hAnsi="宋体" w:hint="eastAsia"/>
                <w:color w:val="000000"/>
                <w:sz w:val="22"/>
              </w:rPr>
              <w:br/>
            </w:r>
            <w:r w:rsidRPr="00F416F3">
              <w:rPr>
                <w:rFonts w:ascii="宋体" w:hAnsi="宋体" w:hint="eastAsia"/>
                <w:color w:val="000000"/>
                <w:sz w:val="22"/>
              </w:rPr>
              <w:lastRenderedPageBreak/>
              <w:t>15、实现基于拓扑图的日志源相关数据信息快速查看；实现通过拓扑下钻查看对应日志源的日志、报表、告警数据；</w:t>
            </w:r>
          </w:p>
          <w:p w:rsidR="00AC655C" w:rsidRPr="00F416F3" w:rsidRDefault="00AC655C" w:rsidP="00195500"/>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10</w:t>
            </w:r>
          </w:p>
        </w:tc>
        <w:tc>
          <w:tcPr>
            <w:tcW w:w="112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数据库审计</w:t>
            </w:r>
          </w:p>
        </w:tc>
        <w:tc>
          <w:tcPr>
            <w:tcW w:w="3186" w:type="dxa"/>
            <w:vAlign w:val="center"/>
          </w:tcPr>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1、2U机架式结构， 默认包含1个10/100/1000BASE-TX管理口，5个10/100/1000BASE-T电口采集口，4个SFP插槽，2个USB接口，1个Console接口，2个可插拔扩展插槽；1T存储空间，配置双电源，带有液晶屏；含3年攻击检测规则库、僵尸主机规则库升级许可</w:t>
            </w:r>
            <w:r w:rsidRPr="00F416F3">
              <w:rPr>
                <w:rFonts w:ascii="宋体" w:hAnsi="宋体" w:hint="eastAsia"/>
                <w:color w:val="000000"/>
                <w:sz w:val="22"/>
              </w:rPr>
              <w:br/>
              <w:t>2、实现sql错误统计，多维度展示错误占比及趋势，从源IP维度以柱状图展示SQL错误数（TOP10），可以列表形式给出出错原因、出错信息以及解决办法</w:t>
            </w:r>
            <w:r>
              <w:rPr>
                <w:rFonts w:ascii="宋体" w:hAnsi="宋体" w:hint="eastAsia"/>
                <w:color w:val="000000"/>
                <w:sz w:val="22"/>
              </w:rPr>
              <w:t>；</w:t>
            </w:r>
            <w:r w:rsidRPr="00F416F3">
              <w:rPr>
                <w:rFonts w:ascii="宋体" w:hAnsi="宋体" w:hint="eastAsia"/>
                <w:color w:val="000000"/>
                <w:sz w:val="22"/>
              </w:rPr>
              <w:br/>
              <w:t>3、实现SQL效率分析，以饼图展示正常SQL与慢SQL占比情况、TOP10慢SQL的详细分析：TOP排名信息、事件ID、数据库名、目的ip、协议类型、源ip、sql响应时间、操作类型、具体sql语句等要素</w:t>
            </w:r>
            <w:r>
              <w:rPr>
                <w:rFonts w:ascii="宋体" w:hAnsi="宋体" w:hint="eastAsia"/>
                <w:color w:val="000000"/>
                <w:sz w:val="22"/>
              </w:rPr>
              <w:t>；</w:t>
            </w:r>
            <w:r w:rsidRPr="00F416F3">
              <w:rPr>
                <w:rFonts w:ascii="宋体" w:hAnsi="宋体" w:hint="eastAsia"/>
                <w:color w:val="000000"/>
                <w:sz w:val="22"/>
              </w:rPr>
              <w:br/>
              <w:t>4、实现Oracle、SQLServer、MySQL、DB2、Sybase、Informix、PostgreSQL、Teradata、HANA、Hive、Hbase、ES（elaticsearch）、Redis、浪潮KDB、MongoDB等数据库系统。</w:t>
            </w:r>
            <w:r w:rsidRPr="00F416F3">
              <w:rPr>
                <w:rFonts w:ascii="宋体" w:hAnsi="宋体" w:hint="eastAsia"/>
                <w:color w:val="000000"/>
                <w:sz w:val="22"/>
              </w:rPr>
              <w:br/>
              <w:t>5、实现按数据库实例、数据库名、用户名、数据库表名、表字段名、操作类别、SQL语句、响应时间、连接时长、会话ID、关联规则ID、操作结果、SQL返回结果集、数据库客户端程序、数据库服务器端程序等作为查询和统计条件。</w:t>
            </w:r>
            <w:r w:rsidRPr="00F416F3">
              <w:rPr>
                <w:rFonts w:ascii="宋体" w:hAnsi="宋体" w:hint="eastAsia"/>
                <w:color w:val="000000"/>
                <w:sz w:val="22"/>
              </w:rPr>
              <w:br/>
              <w:t>6、实现会话回放功能,并至少支持0.5倍速、1倍速、1.5倍速、2倍速、4倍速五级播放速度调</w:t>
            </w:r>
            <w:r w:rsidRPr="00F416F3">
              <w:rPr>
                <w:rFonts w:ascii="宋体" w:hAnsi="宋体" w:hint="eastAsia"/>
                <w:color w:val="000000"/>
                <w:sz w:val="22"/>
              </w:rPr>
              <w:lastRenderedPageBreak/>
              <w:t>节</w:t>
            </w:r>
            <w:r>
              <w:rPr>
                <w:rFonts w:ascii="宋体" w:hAnsi="宋体" w:hint="eastAsia"/>
                <w:color w:val="000000"/>
                <w:sz w:val="22"/>
              </w:rPr>
              <w:t>；</w:t>
            </w:r>
            <w:r w:rsidRPr="00F416F3">
              <w:rPr>
                <w:rFonts w:ascii="宋体" w:hAnsi="宋体" w:hint="eastAsia"/>
                <w:color w:val="000000"/>
                <w:sz w:val="22"/>
              </w:rPr>
              <w:br/>
              <w:t>7、实现等保、萨班斯法案报表模板以及自定义报表，可以按日、周、月等周期自动生成报表</w:t>
            </w:r>
            <w:r>
              <w:rPr>
                <w:rFonts w:ascii="宋体" w:hAnsi="宋体" w:hint="eastAsia"/>
                <w:color w:val="000000"/>
                <w:sz w:val="22"/>
              </w:rPr>
              <w:t>；</w:t>
            </w:r>
            <w:r w:rsidRPr="00F416F3">
              <w:rPr>
                <w:rFonts w:ascii="宋体" w:hAnsi="宋体" w:hint="eastAsia"/>
                <w:color w:val="000000"/>
                <w:sz w:val="22"/>
              </w:rPr>
              <w:br/>
              <w:t>8、实现手动、自动方式的磁盘清理，可根据剩余空间、保存时限等条件灵活设置，磁盘空间占用情况的检查频率可灵活设置：10min、30min、1h、3h、6h、24h等时长</w:t>
            </w:r>
            <w:r>
              <w:rPr>
                <w:rFonts w:ascii="宋体" w:hAnsi="宋体" w:hint="eastAsia"/>
                <w:color w:val="000000"/>
                <w:sz w:val="22"/>
              </w:rPr>
              <w:t>；</w:t>
            </w:r>
            <w:r w:rsidRPr="00F416F3">
              <w:rPr>
                <w:rFonts w:ascii="宋体" w:hAnsi="宋体" w:hint="eastAsia"/>
                <w:color w:val="000000"/>
                <w:sz w:val="22"/>
              </w:rPr>
              <w:br/>
              <w:t>9</w:t>
            </w:r>
            <w:r>
              <w:rPr>
                <w:rFonts w:ascii="宋体" w:hAnsi="宋体" w:hint="eastAsia"/>
                <w:color w:val="000000"/>
                <w:sz w:val="22"/>
              </w:rPr>
              <w:t>、</w:t>
            </w:r>
            <w:r w:rsidRPr="00F416F3">
              <w:rPr>
                <w:rFonts w:ascii="宋体" w:hAnsi="宋体" w:hint="eastAsia"/>
                <w:color w:val="000000"/>
                <w:sz w:val="22"/>
              </w:rPr>
              <w:t>安全操作系统采用冗余设计，可在设备命令行启动过程中选择主备系统</w:t>
            </w:r>
            <w:r>
              <w:rPr>
                <w:rFonts w:ascii="宋体" w:hAnsi="宋体" w:hint="eastAsia"/>
                <w:color w:val="000000"/>
                <w:sz w:val="22"/>
              </w:rPr>
              <w:t>；</w:t>
            </w:r>
            <w:r w:rsidRPr="00F416F3">
              <w:rPr>
                <w:rFonts w:ascii="宋体" w:hAnsi="宋体" w:hint="eastAsia"/>
                <w:color w:val="000000"/>
                <w:sz w:val="22"/>
              </w:rPr>
              <w:br/>
              <w:t>10、实现数据库监控，支持数据库名、实例名、数据库类型、数据库服务器负载、活跃会话数以及CPU、硬盘、内存等信息的展示</w:t>
            </w:r>
            <w:r>
              <w:rPr>
                <w:rFonts w:ascii="宋体" w:hAnsi="宋体" w:hint="eastAsia"/>
                <w:color w:val="000000"/>
                <w:sz w:val="22"/>
              </w:rPr>
              <w:t>；</w:t>
            </w:r>
          </w:p>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11、实现系统配置文件和系统策略的明文或密文的导入导出</w:t>
            </w:r>
            <w:r>
              <w:rPr>
                <w:rFonts w:ascii="宋体" w:hAnsi="宋体" w:hint="eastAsia"/>
                <w:color w:val="000000"/>
                <w:sz w:val="22"/>
              </w:rPr>
              <w:t>；</w:t>
            </w:r>
          </w:p>
          <w:p w:rsidR="00AC655C" w:rsidRPr="00F416F3" w:rsidRDefault="00AC655C" w:rsidP="00195500">
            <w:pPr>
              <w:rPr>
                <w:rFonts w:ascii="宋体" w:hAnsi="宋体" w:hint="eastAsia"/>
                <w:color w:val="000000"/>
                <w:sz w:val="22"/>
              </w:rPr>
            </w:pPr>
            <w:r w:rsidRPr="00F416F3">
              <w:rPr>
                <w:rFonts w:ascii="宋体" w:hAnsi="宋体" w:hint="eastAsia"/>
                <w:color w:val="000000"/>
                <w:sz w:val="22"/>
              </w:rPr>
              <w:t>12、对无法镜像流量的审计场景，实现多种类型操作系统的探针部署，适配的操作系统至少包括以下几种： WinSer2003/2008/2012/2016、Centos、opensuse、redhat、Ubuntu、中标麒麟SV1.2-龙芯、银河麒麟SV1.3-飞腾、银河麒麟server-飞腾</w:t>
            </w:r>
            <w:r>
              <w:rPr>
                <w:rFonts w:ascii="宋体" w:hAnsi="宋体" w:hint="eastAsia"/>
                <w:color w:val="000000"/>
                <w:sz w:val="22"/>
              </w:rPr>
              <w:t>；</w:t>
            </w:r>
          </w:p>
          <w:p w:rsidR="00AC655C" w:rsidRPr="00F416F3" w:rsidRDefault="00AC655C" w:rsidP="00195500">
            <w:pPr>
              <w:rPr>
                <w:color w:val="FF0000"/>
              </w:rPr>
            </w:pP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台</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lastRenderedPageBreak/>
              <w:t>11</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防火墙特征库升级</w:t>
            </w:r>
          </w:p>
        </w:tc>
        <w:tc>
          <w:tcPr>
            <w:tcW w:w="3186" w:type="dxa"/>
            <w:vAlign w:val="center"/>
          </w:tcPr>
          <w:p w:rsidR="00AC655C" w:rsidRPr="00F416F3" w:rsidRDefault="00AC655C" w:rsidP="00195500">
            <w:pPr>
              <w:rPr>
                <w:rFonts w:ascii="宋体" w:hAnsi="宋体" w:cs="宋体"/>
                <w:color w:val="000000"/>
                <w:sz w:val="22"/>
              </w:rPr>
            </w:pPr>
            <w:r w:rsidRPr="00F416F3">
              <w:rPr>
                <w:rFonts w:ascii="宋体" w:hAnsi="宋体" w:hint="eastAsia"/>
                <w:color w:val="000000"/>
                <w:sz w:val="22"/>
              </w:rPr>
              <w:t>★现有华为USG6620防火墙特征库3年升级</w:t>
            </w:r>
            <w:r>
              <w:rPr>
                <w:rFonts w:ascii="宋体" w:hAnsi="宋体" w:hint="eastAsia"/>
                <w:color w:val="000000"/>
                <w:sz w:val="22"/>
              </w:rPr>
              <w:t>；</w:t>
            </w: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套</w:t>
            </w:r>
          </w:p>
        </w:tc>
        <w:tc>
          <w:tcPr>
            <w:tcW w:w="1114" w:type="dxa"/>
          </w:tcPr>
          <w:p w:rsidR="00AC655C" w:rsidRDefault="00AC655C" w:rsidP="00AC655C">
            <w:pPr>
              <w:jc w:val="center"/>
            </w:pPr>
          </w:p>
        </w:tc>
      </w:tr>
      <w:tr w:rsidR="00AC655C" w:rsidTr="00FD397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12</w:t>
            </w:r>
          </w:p>
        </w:tc>
        <w:tc>
          <w:tcPr>
            <w:tcW w:w="1121" w:type="dxa"/>
            <w:vAlign w:val="center"/>
          </w:tcPr>
          <w:p w:rsidR="00AC655C" w:rsidRDefault="00AC655C" w:rsidP="00195500">
            <w:pPr>
              <w:rPr>
                <w:rFonts w:ascii="宋体" w:hAnsi="宋体" w:cs="宋体"/>
                <w:color w:val="000000"/>
                <w:sz w:val="22"/>
              </w:rPr>
            </w:pPr>
            <w:r>
              <w:rPr>
                <w:rFonts w:ascii="宋体" w:hAnsi="宋体" w:hint="eastAsia"/>
                <w:color w:val="000000"/>
                <w:sz w:val="22"/>
              </w:rPr>
              <w:t>上网行为管理特征库升级</w:t>
            </w:r>
          </w:p>
        </w:tc>
        <w:tc>
          <w:tcPr>
            <w:tcW w:w="3186" w:type="dxa"/>
            <w:vAlign w:val="center"/>
          </w:tcPr>
          <w:p w:rsidR="00AC655C" w:rsidRPr="00F416F3" w:rsidRDefault="00AC655C" w:rsidP="00195500">
            <w:pPr>
              <w:rPr>
                <w:rFonts w:ascii="宋体" w:hAnsi="宋体" w:cs="宋体"/>
                <w:color w:val="000000"/>
                <w:sz w:val="22"/>
              </w:rPr>
            </w:pPr>
            <w:r w:rsidRPr="00F416F3">
              <w:rPr>
                <w:rFonts w:ascii="宋体" w:hAnsi="宋体" w:hint="eastAsia"/>
                <w:color w:val="000000"/>
                <w:sz w:val="22"/>
              </w:rPr>
              <w:t>★现有天融信上网行为管理ACM-51638特征库3年升级</w:t>
            </w:r>
            <w:r>
              <w:rPr>
                <w:rFonts w:ascii="宋体" w:hAnsi="宋体" w:hint="eastAsia"/>
                <w:color w:val="000000"/>
                <w:sz w:val="22"/>
              </w:rPr>
              <w:t>；</w:t>
            </w: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套</w:t>
            </w:r>
          </w:p>
        </w:tc>
        <w:tc>
          <w:tcPr>
            <w:tcW w:w="1114" w:type="dxa"/>
          </w:tcPr>
          <w:p w:rsidR="00AC655C" w:rsidRDefault="00AC655C" w:rsidP="00AC655C">
            <w:pPr>
              <w:jc w:val="center"/>
            </w:pPr>
          </w:p>
        </w:tc>
      </w:tr>
      <w:tr w:rsidR="00AC655C" w:rsidTr="00FD397C">
        <w:tc>
          <w:tcPr>
            <w:tcW w:w="1035" w:type="dxa"/>
            <w:vAlign w:val="center"/>
          </w:tcPr>
          <w:p w:rsidR="00AC655C" w:rsidRPr="005524BC" w:rsidRDefault="00AC655C" w:rsidP="00195500">
            <w:pPr>
              <w:jc w:val="center"/>
              <w:rPr>
                <w:rFonts w:ascii="宋体" w:hAnsi="宋体" w:cs="宋体"/>
                <w:color w:val="000000"/>
                <w:sz w:val="22"/>
              </w:rPr>
            </w:pPr>
            <w:r w:rsidRPr="005524BC">
              <w:rPr>
                <w:rFonts w:ascii="宋体" w:hAnsi="宋体" w:hint="eastAsia"/>
                <w:color w:val="000000"/>
                <w:sz w:val="22"/>
              </w:rPr>
              <w:t>13</w:t>
            </w:r>
          </w:p>
        </w:tc>
        <w:tc>
          <w:tcPr>
            <w:tcW w:w="1121" w:type="dxa"/>
            <w:vAlign w:val="center"/>
          </w:tcPr>
          <w:p w:rsidR="00AC655C" w:rsidRPr="005524BC" w:rsidRDefault="00AC655C" w:rsidP="00195500">
            <w:pPr>
              <w:rPr>
                <w:rFonts w:ascii="宋体" w:hAnsi="宋体" w:cs="宋体"/>
                <w:color w:val="000000"/>
                <w:sz w:val="22"/>
              </w:rPr>
            </w:pPr>
            <w:r w:rsidRPr="005524BC">
              <w:rPr>
                <w:rFonts w:ascii="宋体" w:hAnsi="宋体" w:hint="eastAsia"/>
                <w:color w:val="000000"/>
                <w:sz w:val="22"/>
              </w:rPr>
              <w:t>iPv6升级</w:t>
            </w:r>
          </w:p>
        </w:tc>
        <w:tc>
          <w:tcPr>
            <w:tcW w:w="3186" w:type="dxa"/>
            <w:vAlign w:val="center"/>
          </w:tcPr>
          <w:p w:rsidR="00AC655C" w:rsidRPr="00F416F3" w:rsidRDefault="00AC655C" w:rsidP="00195500">
            <w:pPr>
              <w:rPr>
                <w:rFonts w:ascii="宋体" w:hAnsi="宋体" w:cs="宋体"/>
                <w:color w:val="000000"/>
                <w:sz w:val="22"/>
              </w:rPr>
            </w:pPr>
            <w:r w:rsidRPr="00F416F3">
              <w:rPr>
                <w:rFonts w:ascii="宋体" w:hAnsi="宋体" w:hint="eastAsia"/>
                <w:color w:val="000000"/>
                <w:sz w:val="22"/>
              </w:rPr>
              <w:t>★现有核心交换机华为S12704进行iPv6功能授权</w:t>
            </w:r>
            <w:r>
              <w:rPr>
                <w:rFonts w:ascii="宋体" w:hAnsi="宋体" w:hint="eastAsia"/>
                <w:color w:val="000000"/>
                <w:sz w:val="22"/>
              </w:rPr>
              <w:t xml:space="preserve"> </w:t>
            </w: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套</w:t>
            </w:r>
          </w:p>
        </w:tc>
        <w:tc>
          <w:tcPr>
            <w:tcW w:w="1114" w:type="dxa"/>
          </w:tcPr>
          <w:p w:rsidR="00AC655C" w:rsidRDefault="00AC655C" w:rsidP="00AC655C">
            <w:pPr>
              <w:jc w:val="center"/>
            </w:pPr>
          </w:p>
        </w:tc>
      </w:tr>
      <w:tr w:rsidR="00AC655C" w:rsidTr="00FD397C">
        <w:tc>
          <w:tcPr>
            <w:tcW w:w="1035" w:type="dxa"/>
            <w:vAlign w:val="center"/>
          </w:tcPr>
          <w:p w:rsidR="00AC655C" w:rsidRPr="005524BC" w:rsidRDefault="00AC655C" w:rsidP="00195500">
            <w:pPr>
              <w:jc w:val="center"/>
              <w:rPr>
                <w:rFonts w:ascii="宋体" w:hAnsi="宋体"/>
                <w:color w:val="000000"/>
                <w:sz w:val="22"/>
              </w:rPr>
            </w:pPr>
            <w:r w:rsidRPr="005524BC">
              <w:rPr>
                <w:rFonts w:ascii="宋体" w:hAnsi="宋体" w:hint="eastAsia"/>
                <w:color w:val="000000"/>
                <w:sz w:val="22"/>
              </w:rPr>
              <w:t>14</w:t>
            </w:r>
          </w:p>
        </w:tc>
        <w:tc>
          <w:tcPr>
            <w:tcW w:w="1121" w:type="dxa"/>
            <w:vAlign w:val="center"/>
          </w:tcPr>
          <w:p w:rsidR="00AC655C" w:rsidRPr="005524BC" w:rsidRDefault="00AC655C" w:rsidP="00195500">
            <w:pPr>
              <w:rPr>
                <w:rFonts w:ascii="宋体" w:hAnsi="宋体"/>
                <w:color w:val="000000"/>
                <w:sz w:val="22"/>
              </w:rPr>
            </w:pPr>
            <w:r w:rsidRPr="005524BC">
              <w:rPr>
                <w:rFonts w:ascii="宋体" w:hAnsi="宋体" w:hint="eastAsia"/>
                <w:color w:val="000000"/>
                <w:sz w:val="22"/>
              </w:rPr>
              <w:t>二级等保测试</w:t>
            </w:r>
          </w:p>
        </w:tc>
        <w:tc>
          <w:tcPr>
            <w:tcW w:w="3186" w:type="dxa"/>
            <w:vAlign w:val="center"/>
          </w:tcPr>
          <w:p w:rsidR="00AC655C" w:rsidRPr="005524BC" w:rsidRDefault="00AC655C" w:rsidP="00195500">
            <w:pPr>
              <w:rPr>
                <w:rFonts w:ascii="宋体" w:hAnsi="宋体" w:hint="eastAsia"/>
                <w:color w:val="000000"/>
                <w:sz w:val="22"/>
              </w:rPr>
            </w:pPr>
            <w:r w:rsidRPr="005524BC">
              <w:rPr>
                <w:rFonts w:ascii="宋体" w:hAnsi="宋体" w:hint="eastAsia"/>
                <w:color w:val="000000"/>
                <w:sz w:val="22"/>
              </w:rPr>
              <w:t>★委托有测评资质的第三方机构进行测评后，进行整改，确保达到二级等保要求，所产生费用由中标方承担。</w:t>
            </w:r>
          </w:p>
        </w:tc>
        <w:tc>
          <w:tcPr>
            <w:tcW w:w="1031" w:type="dxa"/>
            <w:vAlign w:val="center"/>
          </w:tcPr>
          <w:p w:rsidR="00AC655C" w:rsidRPr="00CE27ED" w:rsidRDefault="00AC655C" w:rsidP="00195500">
            <w:pPr>
              <w:jc w:val="center"/>
              <w:rPr>
                <w:rFonts w:ascii="宋体" w:hAnsi="宋体" w:hint="eastAsia"/>
                <w:color w:val="000000"/>
                <w:sz w:val="22"/>
              </w:rPr>
            </w:pPr>
            <w:r w:rsidRPr="00CE27ED">
              <w:rPr>
                <w:rFonts w:ascii="宋体" w:hAnsi="宋体" w:hint="eastAsia"/>
                <w:color w:val="000000"/>
                <w:sz w:val="22"/>
              </w:rPr>
              <w:t>2</w:t>
            </w:r>
          </w:p>
        </w:tc>
        <w:tc>
          <w:tcPr>
            <w:tcW w:w="1035" w:type="dxa"/>
            <w:vAlign w:val="center"/>
          </w:tcPr>
          <w:p w:rsidR="00AC655C" w:rsidRPr="00CE27ED" w:rsidRDefault="00AC655C" w:rsidP="00195500">
            <w:pPr>
              <w:jc w:val="center"/>
              <w:rPr>
                <w:rFonts w:ascii="宋体" w:hAnsi="宋体" w:hint="eastAsia"/>
                <w:color w:val="000000"/>
                <w:sz w:val="22"/>
              </w:rPr>
            </w:pPr>
            <w:r w:rsidRPr="00CE27ED">
              <w:rPr>
                <w:rFonts w:ascii="宋体" w:hAnsi="宋体" w:hint="eastAsia"/>
                <w:color w:val="000000"/>
                <w:sz w:val="22"/>
              </w:rPr>
              <w:t>系统</w:t>
            </w:r>
          </w:p>
        </w:tc>
        <w:tc>
          <w:tcPr>
            <w:tcW w:w="1114" w:type="dxa"/>
            <w:vAlign w:val="center"/>
          </w:tcPr>
          <w:p w:rsidR="00AC655C" w:rsidRDefault="00173B1C" w:rsidP="00055236">
            <w:r>
              <w:rPr>
                <w:rFonts w:hint="eastAsia"/>
              </w:rPr>
              <w:t>对</w:t>
            </w:r>
            <w:bookmarkStart w:id="0" w:name="_GoBack"/>
            <w:bookmarkEnd w:id="0"/>
            <w:r w:rsidR="00055236">
              <w:rPr>
                <w:rFonts w:hint="eastAsia"/>
              </w:rPr>
              <w:t>2</w:t>
            </w:r>
            <w:r w:rsidR="00055236">
              <w:rPr>
                <w:rFonts w:hint="eastAsia"/>
              </w:rPr>
              <w:t>个现有业务系统测评。</w:t>
            </w:r>
          </w:p>
        </w:tc>
      </w:tr>
      <w:tr w:rsidR="00AC655C" w:rsidTr="00FD397C">
        <w:tc>
          <w:tcPr>
            <w:tcW w:w="1035" w:type="dxa"/>
            <w:vAlign w:val="center"/>
          </w:tcPr>
          <w:p w:rsidR="00AC655C" w:rsidRPr="005524BC" w:rsidRDefault="00AC655C" w:rsidP="00195500">
            <w:pPr>
              <w:jc w:val="center"/>
              <w:rPr>
                <w:rFonts w:ascii="宋体" w:hAnsi="宋体" w:cs="宋体"/>
                <w:color w:val="000000"/>
                <w:sz w:val="22"/>
              </w:rPr>
            </w:pPr>
            <w:r w:rsidRPr="005524BC">
              <w:rPr>
                <w:rFonts w:ascii="宋体" w:hAnsi="宋体" w:hint="eastAsia"/>
                <w:color w:val="000000"/>
                <w:sz w:val="22"/>
              </w:rPr>
              <w:t>15</w:t>
            </w:r>
          </w:p>
        </w:tc>
        <w:tc>
          <w:tcPr>
            <w:tcW w:w="1121" w:type="dxa"/>
            <w:vAlign w:val="center"/>
          </w:tcPr>
          <w:p w:rsidR="00AC655C" w:rsidRPr="005524BC" w:rsidRDefault="00AC655C" w:rsidP="00195500">
            <w:pPr>
              <w:rPr>
                <w:rFonts w:ascii="宋体" w:hAnsi="宋体" w:cs="宋体"/>
                <w:color w:val="000000"/>
                <w:sz w:val="22"/>
              </w:rPr>
            </w:pPr>
            <w:r w:rsidRPr="005524BC">
              <w:rPr>
                <w:rFonts w:ascii="宋体" w:hAnsi="宋体" w:hint="eastAsia"/>
                <w:color w:val="000000"/>
                <w:sz w:val="22"/>
              </w:rPr>
              <w:t>辅材</w:t>
            </w:r>
          </w:p>
        </w:tc>
        <w:tc>
          <w:tcPr>
            <w:tcW w:w="3186" w:type="dxa"/>
            <w:vAlign w:val="center"/>
          </w:tcPr>
          <w:p w:rsidR="00AC655C" w:rsidRPr="005524BC" w:rsidRDefault="00AC655C" w:rsidP="00195500">
            <w:pPr>
              <w:rPr>
                <w:rFonts w:ascii="宋体" w:hAnsi="宋体" w:cs="宋体"/>
                <w:color w:val="000000"/>
                <w:sz w:val="22"/>
              </w:rPr>
            </w:pPr>
            <w:r w:rsidRPr="005524BC">
              <w:rPr>
                <w:rFonts w:ascii="宋体" w:hAnsi="宋体" w:hint="eastAsia"/>
                <w:color w:val="000000"/>
                <w:sz w:val="22"/>
              </w:rPr>
              <w:t>本次项目所用到的所有的配件及辅材</w:t>
            </w:r>
          </w:p>
        </w:tc>
        <w:tc>
          <w:tcPr>
            <w:tcW w:w="1031"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1</w:t>
            </w:r>
          </w:p>
        </w:tc>
        <w:tc>
          <w:tcPr>
            <w:tcW w:w="1035" w:type="dxa"/>
            <w:vAlign w:val="center"/>
          </w:tcPr>
          <w:p w:rsidR="00AC655C" w:rsidRDefault="00AC655C" w:rsidP="00195500">
            <w:pPr>
              <w:jc w:val="center"/>
              <w:rPr>
                <w:rFonts w:ascii="宋体" w:hAnsi="宋体" w:cs="宋体"/>
                <w:color w:val="000000"/>
                <w:sz w:val="22"/>
              </w:rPr>
            </w:pPr>
            <w:r>
              <w:rPr>
                <w:rFonts w:ascii="宋体" w:hAnsi="宋体" w:hint="eastAsia"/>
                <w:color w:val="000000"/>
                <w:sz w:val="22"/>
              </w:rPr>
              <w:t>项</w:t>
            </w:r>
          </w:p>
        </w:tc>
        <w:tc>
          <w:tcPr>
            <w:tcW w:w="1114" w:type="dxa"/>
          </w:tcPr>
          <w:p w:rsidR="00AC655C" w:rsidRDefault="00AC655C" w:rsidP="00AC655C">
            <w:pPr>
              <w:jc w:val="center"/>
            </w:pPr>
          </w:p>
        </w:tc>
      </w:tr>
    </w:tbl>
    <w:p w:rsidR="00AC655C" w:rsidRDefault="00AC655C" w:rsidP="00AC655C">
      <w:pPr>
        <w:jc w:val="center"/>
      </w:pPr>
    </w:p>
    <w:sectPr w:rsidR="00AC6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FB" w:rsidRDefault="00A842FB" w:rsidP="00AC655C">
      <w:r>
        <w:separator/>
      </w:r>
    </w:p>
  </w:endnote>
  <w:endnote w:type="continuationSeparator" w:id="0">
    <w:p w:rsidR="00A842FB" w:rsidRDefault="00A842FB" w:rsidP="00AC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FB" w:rsidRDefault="00A842FB" w:rsidP="00AC655C">
      <w:r>
        <w:separator/>
      </w:r>
    </w:p>
  </w:footnote>
  <w:footnote w:type="continuationSeparator" w:id="0">
    <w:p w:rsidR="00A842FB" w:rsidRDefault="00A842FB" w:rsidP="00AC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48"/>
    <w:rsid w:val="00034AC4"/>
    <w:rsid w:val="00055236"/>
    <w:rsid w:val="00104948"/>
    <w:rsid w:val="00173B1C"/>
    <w:rsid w:val="004F3405"/>
    <w:rsid w:val="00A842FB"/>
    <w:rsid w:val="00AC655C"/>
    <w:rsid w:val="00C8553F"/>
    <w:rsid w:val="00FD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55C"/>
    <w:rPr>
      <w:sz w:val="18"/>
      <w:szCs w:val="18"/>
    </w:rPr>
  </w:style>
  <w:style w:type="paragraph" w:styleId="a4">
    <w:name w:val="footer"/>
    <w:basedOn w:val="a"/>
    <w:link w:val="Char0"/>
    <w:uiPriority w:val="99"/>
    <w:unhideWhenUsed/>
    <w:rsid w:val="00AC655C"/>
    <w:pPr>
      <w:tabs>
        <w:tab w:val="center" w:pos="4153"/>
        <w:tab w:val="right" w:pos="8306"/>
      </w:tabs>
      <w:snapToGrid w:val="0"/>
      <w:jc w:val="left"/>
    </w:pPr>
    <w:rPr>
      <w:sz w:val="18"/>
      <w:szCs w:val="18"/>
    </w:rPr>
  </w:style>
  <w:style w:type="character" w:customStyle="1" w:styleId="Char0">
    <w:name w:val="页脚 Char"/>
    <w:basedOn w:val="a0"/>
    <w:link w:val="a4"/>
    <w:uiPriority w:val="99"/>
    <w:rsid w:val="00AC655C"/>
    <w:rPr>
      <w:sz w:val="18"/>
      <w:szCs w:val="18"/>
    </w:rPr>
  </w:style>
  <w:style w:type="table" w:styleId="a5">
    <w:name w:val="Table Grid"/>
    <w:basedOn w:val="a1"/>
    <w:uiPriority w:val="59"/>
    <w:rsid w:val="00AC6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55C"/>
    <w:rPr>
      <w:sz w:val="18"/>
      <w:szCs w:val="18"/>
    </w:rPr>
  </w:style>
  <w:style w:type="paragraph" w:styleId="a4">
    <w:name w:val="footer"/>
    <w:basedOn w:val="a"/>
    <w:link w:val="Char0"/>
    <w:uiPriority w:val="99"/>
    <w:unhideWhenUsed/>
    <w:rsid w:val="00AC655C"/>
    <w:pPr>
      <w:tabs>
        <w:tab w:val="center" w:pos="4153"/>
        <w:tab w:val="right" w:pos="8306"/>
      </w:tabs>
      <w:snapToGrid w:val="0"/>
      <w:jc w:val="left"/>
    </w:pPr>
    <w:rPr>
      <w:sz w:val="18"/>
      <w:szCs w:val="18"/>
    </w:rPr>
  </w:style>
  <w:style w:type="character" w:customStyle="1" w:styleId="Char0">
    <w:name w:val="页脚 Char"/>
    <w:basedOn w:val="a0"/>
    <w:link w:val="a4"/>
    <w:uiPriority w:val="99"/>
    <w:rsid w:val="00AC655C"/>
    <w:rPr>
      <w:sz w:val="18"/>
      <w:szCs w:val="18"/>
    </w:rPr>
  </w:style>
  <w:style w:type="table" w:styleId="a5">
    <w:name w:val="Table Grid"/>
    <w:basedOn w:val="a1"/>
    <w:uiPriority w:val="59"/>
    <w:rsid w:val="00AC6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1113</Words>
  <Characters>6350</Characters>
  <Application>Microsoft Office Word</Application>
  <DocSecurity>0</DocSecurity>
  <Lines>52</Lines>
  <Paragraphs>14</Paragraphs>
  <ScaleCrop>false</ScaleCrop>
  <Company>china</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2022-04-26T01:57:00Z</dcterms:created>
  <dcterms:modified xsi:type="dcterms:W3CDTF">2022-04-26T02:12:00Z</dcterms:modified>
</cp:coreProperties>
</file>