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kern w:val="0"/>
          <w:sz w:val="44"/>
          <w:szCs w:val="44"/>
        </w:rPr>
      </w:pPr>
    </w:p>
    <w:p>
      <w:pPr>
        <w:jc w:val="center"/>
        <w:rPr>
          <w:rFonts w:hint="eastAsia" w:eastAsia="宋体"/>
          <w:sz w:val="36"/>
          <w:szCs w:val="36"/>
          <w:lang w:eastAsia="zh-CN"/>
        </w:rPr>
      </w:pPr>
      <w:bookmarkStart w:id="0" w:name="_Toc152042286"/>
      <w:bookmarkStart w:id="1" w:name="_Toc144974478"/>
      <w:r>
        <w:rPr>
          <w:rFonts w:hint="eastAsia" w:ascii="宋体" w:hAnsi="宋体"/>
          <w:b/>
          <w:bCs/>
          <w:kern w:val="0"/>
          <w:sz w:val="52"/>
          <w:szCs w:val="52"/>
          <w:lang w:eastAsia="zh-CN"/>
        </w:rPr>
        <w:t>安徽滁州技师学院新校区信息化建设跟踪(结算)审计服务采购项目</w:t>
      </w:r>
    </w:p>
    <w:p>
      <w:pPr>
        <w:rPr>
          <w:sz w:val="28"/>
          <w:szCs w:val="28"/>
        </w:rPr>
      </w:pPr>
    </w:p>
    <w:p>
      <w:pPr>
        <w:pStyle w:val="2"/>
        <w:ind w:firstLine="560"/>
        <w:rPr>
          <w:sz w:val="28"/>
          <w:szCs w:val="28"/>
        </w:rPr>
      </w:pPr>
    </w:p>
    <w:p>
      <w:pPr>
        <w:pStyle w:val="2"/>
        <w:ind w:left="0" w:leftChars="0" w:firstLine="0" w:firstLineChars="0"/>
        <w:rPr>
          <w:sz w:val="28"/>
          <w:szCs w:val="28"/>
        </w:rPr>
      </w:pPr>
    </w:p>
    <w:p>
      <w:pPr>
        <w:jc w:val="center"/>
        <w:rPr>
          <w:rFonts w:ascii="楷体_GB2312" w:eastAsia="楷体_GB2312"/>
          <w:sz w:val="96"/>
          <w:szCs w:val="96"/>
        </w:rPr>
      </w:pPr>
      <w:r>
        <w:rPr>
          <w:rFonts w:hint="eastAsia" w:ascii="楷体_GB2312" w:eastAsia="楷体_GB2312"/>
          <w:sz w:val="96"/>
          <w:szCs w:val="96"/>
          <w:lang w:val="en-US" w:eastAsia="zh-CN"/>
        </w:rPr>
        <w:t>招</w:t>
      </w:r>
      <w:r>
        <w:rPr>
          <w:rFonts w:hint="eastAsia" w:ascii="楷体_GB2312" w:eastAsia="楷体_GB2312"/>
          <w:sz w:val="96"/>
          <w:szCs w:val="96"/>
        </w:rPr>
        <w:t xml:space="preserve"> </w:t>
      </w:r>
      <w:r>
        <w:rPr>
          <w:rFonts w:hint="eastAsia" w:ascii="楷体_GB2312" w:eastAsia="楷体_GB2312"/>
          <w:sz w:val="96"/>
          <w:szCs w:val="96"/>
          <w:lang w:val="en-US" w:eastAsia="zh-CN"/>
        </w:rPr>
        <w:t>标</w:t>
      </w:r>
      <w:r>
        <w:rPr>
          <w:rFonts w:hint="eastAsia" w:ascii="楷体_GB2312" w:eastAsia="楷体_GB2312"/>
          <w:sz w:val="96"/>
          <w:szCs w:val="96"/>
        </w:rPr>
        <w:t xml:space="preserve"> 文 件</w:t>
      </w:r>
    </w:p>
    <w:p>
      <w:pPr>
        <w:rPr>
          <w:rFonts w:ascii="黑体" w:hAnsi="黑体" w:eastAsia="黑体" w:cs="黑体"/>
          <w:sz w:val="56"/>
          <w:szCs w:val="32"/>
        </w:rPr>
      </w:pPr>
    </w:p>
    <w:p>
      <w:pPr>
        <w:pStyle w:val="13"/>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 xml:space="preserve"> </w:t>
      </w:r>
    </w:p>
    <w:p>
      <w:pPr>
        <w:spacing w:line="400" w:lineRule="exact"/>
        <w:rPr>
          <w:sz w:val="24"/>
        </w:rPr>
      </w:pPr>
    </w:p>
    <w:p>
      <w:pPr>
        <w:spacing w:line="400" w:lineRule="exact"/>
      </w:pPr>
    </w:p>
    <w:p>
      <w:pPr>
        <w:spacing w:line="400" w:lineRule="exact"/>
      </w:pPr>
    </w:p>
    <w:p>
      <w:pPr>
        <w:spacing w:line="400" w:lineRule="exact"/>
      </w:pPr>
    </w:p>
    <w:p>
      <w:pPr>
        <w:spacing w:line="400" w:lineRule="exact"/>
      </w:pPr>
    </w:p>
    <w:p>
      <w:pPr>
        <w:spacing w:line="400" w:lineRule="exact"/>
      </w:pPr>
      <w:r>
        <w:t xml:space="preserve"> </w:t>
      </w:r>
    </w:p>
    <w:p>
      <w:pPr>
        <w:spacing w:line="400" w:lineRule="exact"/>
      </w:pPr>
    </w:p>
    <w:p>
      <w:pPr>
        <w:spacing w:line="800" w:lineRule="exact"/>
        <w:ind w:firstLine="1205" w:firstLineChars="400"/>
        <w:rPr>
          <w:b/>
          <w:bCs/>
          <w:sz w:val="30"/>
          <w:szCs w:val="30"/>
          <w:u w:val="single"/>
        </w:rPr>
      </w:pPr>
      <w:r>
        <w:rPr>
          <w:rFonts w:hint="eastAsia"/>
          <w:b/>
          <w:bCs/>
          <w:sz w:val="30"/>
          <w:szCs w:val="30"/>
        </w:rPr>
        <w:t>招标单位：</w:t>
      </w:r>
      <w:r>
        <w:rPr>
          <w:rFonts w:hint="eastAsia"/>
          <w:b/>
          <w:bCs/>
          <w:sz w:val="30"/>
          <w:szCs w:val="30"/>
          <w:u w:val="single"/>
        </w:rPr>
        <w:t xml:space="preserve">     滁州市机电工程学校   （盖章）</w:t>
      </w:r>
    </w:p>
    <w:p>
      <w:pPr>
        <w:spacing w:line="800" w:lineRule="exact"/>
        <w:jc w:val="center"/>
        <w:rPr>
          <w:b/>
          <w:bCs/>
          <w:spacing w:val="-20"/>
          <w:sz w:val="30"/>
          <w:szCs w:val="30"/>
          <w:u w:val="thick"/>
        </w:rPr>
      </w:pPr>
      <w:r>
        <w:rPr>
          <w:rFonts w:hint="eastAsia"/>
          <w:b/>
          <w:bCs/>
          <w:spacing w:val="-20"/>
          <w:sz w:val="30"/>
          <w:szCs w:val="30"/>
        </w:rPr>
        <w:t>招标代理机构</w:t>
      </w:r>
      <w:r>
        <w:rPr>
          <w:rFonts w:hint="eastAsia"/>
          <w:b/>
          <w:bCs/>
          <w:sz w:val="30"/>
          <w:szCs w:val="30"/>
        </w:rPr>
        <w:t>：</w:t>
      </w:r>
      <w:r>
        <w:rPr>
          <w:rFonts w:hint="eastAsia"/>
          <w:b/>
          <w:bCs/>
          <w:sz w:val="30"/>
          <w:szCs w:val="30"/>
          <w:u w:val="single"/>
        </w:rPr>
        <w:t xml:space="preserve">   </w:t>
      </w:r>
      <w:r>
        <w:rPr>
          <w:rFonts w:hint="eastAsia"/>
          <w:b/>
          <w:bCs/>
          <w:sz w:val="30"/>
          <w:szCs w:val="30"/>
          <w:u w:val="single"/>
          <w:lang w:eastAsia="zh-CN"/>
        </w:rPr>
        <w:t>容诚工程咨询有限公司</w:t>
      </w:r>
      <w:r>
        <w:rPr>
          <w:rFonts w:hint="eastAsia" w:ascii="宋体" w:hAnsi="宋体"/>
          <w:b/>
          <w:sz w:val="28"/>
          <w:szCs w:val="28"/>
          <w:u w:val="single"/>
        </w:rPr>
        <w:t xml:space="preserve">   </w:t>
      </w:r>
      <w:r>
        <w:rPr>
          <w:rFonts w:hint="eastAsia"/>
          <w:b/>
          <w:sz w:val="30"/>
          <w:szCs w:val="30"/>
          <w:u w:val="single"/>
        </w:rPr>
        <w:t>（盖章）</w:t>
      </w:r>
    </w:p>
    <w:p>
      <w:pPr>
        <w:spacing w:line="1280" w:lineRule="exact"/>
        <w:jc w:val="center"/>
        <w:rPr>
          <w:rFonts w:ascii="黑体" w:eastAsia="黑体"/>
          <w:sz w:val="28"/>
          <w:szCs w:val="28"/>
        </w:rPr>
        <w:sectPr>
          <w:footerReference r:id="rId6" w:type="first"/>
          <w:headerReference r:id="rId3" w:type="default"/>
          <w:footerReference r:id="rId4" w:type="default"/>
          <w:footerReference r:id="rId5" w:type="even"/>
          <w:pgSz w:w="11906" w:h="16838"/>
          <w:pgMar w:top="794" w:right="1287" w:bottom="794" w:left="1259" w:header="851" w:footer="992" w:gutter="0"/>
          <w:cols w:space="720" w:num="1"/>
          <w:docGrid w:type="lines" w:linePitch="312" w:charSpace="0"/>
        </w:sectPr>
      </w:pPr>
      <w:r>
        <w:rPr>
          <w:rFonts w:hint="eastAsia" w:ascii="黑体" w:eastAsia="黑体"/>
          <w:sz w:val="32"/>
          <w:szCs w:val="32"/>
        </w:rPr>
        <w:t xml:space="preserve">   </w:t>
      </w:r>
      <w:r>
        <w:rPr>
          <w:rFonts w:hint="eastAsia" w:ascii="黑体" w:eastAsia="黑体"/>
          <w:sz w:val="32"/>
          <w:szCs w:val="32"/>
          <w:u w:val="single"/>
        </w:rPr>
        <w:t xml:space="preserve"> 2024</w:t>
      </w:r>
      <w:r>
        <w:rPr>
          <w:rFonts w:hint="eastAsia" w:ascii="黑体" w:eastAsia="黑体"/>
          <w:sz w:val="32"/>
          <w:szCs w:val="32"/>
        </w:rPr>
        <w:t>年</w:t>
      </w:r>
      <w:r>
        <w:rPr>
          <w:rFonts w:hint="eastAsia" w:ascii="黑体" w:eastAsia="黑体"/>
          <w:sz w:val="32"/>
          <w:szCs w:val="32"/>
          <w:u w:val="single"/>
        </w:rPr>
        <w:t xml:space="preserve"> </w:t>
      </w:r>
      <w:r>
        <w:rPr>
          <w:rFonts w:hint="eastAsia" w:ascii="黑体" w:eastAsia="黑体"/>
          <w:sz w:val="32"/>
          <w:szCs w:val="32"/>
          <w:u w:val="single"/>
          <w:lang w:val="en-US" w:eastAsia="zh-CN"/>
        </w:rPr>
        <w:t>3</w:t>
      </w:r>
      <w:r>
        <w:rPr>
          <w:rFonts w:hint="eastAsia" w:ascii="黑体" w:eastAsia="黑体"/>
          <w:sz w:val="32"/>
          <w:szCs w:val="32"/>
          <w:u w:val="single"/>
        </w:rPr>
        <w:t xml:space="preserve"> </w:t>
      </w:r>
      <w:r>
        <w:rPr>
          <w:rFonts w:hint="eastAsia" w:ascii="黑体" w:eastAsia="黑体"/>
          <w:sz w:val="32"/>
          <w:szCs w:val="32"/>
        </w:rPr>
        <w:t>月</w:t>
      </w:r>
    </w:p>
    <w:bookmarkEnd w:id="0"/>
    <w:bookmarkEnd w:id="1"/>
    <w:p>
      <w:pPr>
        <w:rPr>
          <w:rFonts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numPr>
          <w:ilvl w:val="0"/>
          <w:numId w:val="1"/>
        </w:numPr>
        <w:spacing w:line="800" w:lineRule="exact"/>
        <w:rPr>
          <w:rStyle w:val="37"/>
          <w:rFonts w:ascii="宋体" w:hAnsi="宋体"/>
          <w:color w:val="auto"/>
          <w:sz w:val="24"/>
        </w:rPr>
      </w:pPr>
      <w:bookmarkStart w:id="2" w:name="_Toc23696984"/>
      <w:bookmarkStart w:id="3" w:name="OLE_LINK3"/>
      <w:r>
        <w:rPr>
          <w:rFonts w:hint="eastAsia" w:ascii="宋体" w:hAnsi="宋体"/>
          <w:sz w:val="24"/>
          <w:lang w:eastAsia="zh-CN"/>
        </w:rPr>
        <w:t>招标公告</w:t>
      </w:r>
      <w:r>
        <w:rPr>
          <w:rFonts w:hint="eastAsia" w:ascii="宋体" w:hAnsi="宋体"/>
          <w:sz w:val="24"/>
        </w:rPr>
        <w:t xml:space="preserve">  </w:t>
      </w:r>
      <w:r>
        <w:rPr>
          <w:rFonts w:ascii="宋体" w:hAnsi="宋体"/>
          <w:sz w:val="24"/>
        </w:rPr>
        <w:t>…</w:t>
      </w:r>
      <w:r>
        <w:rPr>
          <w:rStyle w:val="37"/>
          <w:rFonts w:ascii="宋体" w:hAnsi="宋体"/>
          <w:color w:val="auto"/>
          <w:sz w:val="24"/>
        </w:rPr>
        <w:t>………………………………………………………………</w:t>
      </w:r>
      <w:r>
        <w:rPr>
          <w:rStyle w:val="37"/>
          <w:rFonts w:hint="eastAsia" w:ascii="宋体" w:hAnsi="宋体"/>
          <w:color w:val="auto"/>
          <w:sz w:val="24"/>
        </w:rPr>
        <w:t>1</w:t>
      </w:r>
      <w:bookmarkStart w:id="4" w:name="_Toc246996156"/>
      <w:bookmarkStart w:id="5" w:name="_Toc247085670"/>
      <w:bookmarkStart w:id="6" w:name="_Toc246996899"/>
    </w:p>
    <w:p>
      <w:pPr>
        <w:spacing w:line="800" w:lineRule="exact"/>
        <w:rPr>
          <w:rFonts w:ascii="宋体" w:hAnsi="宋体"/>
          <w:sz w:val="24"/>
        </w:rPr>
      </w:pPr>
      <w:r>
        <w:rPr>
          <w:rFonts w:ascii="宋体" w:hAnsi="宋体"/>
          <w:sz w:val="24"/>
        </w:rPr>
        <w:fldChar w:fldCharType="begin"/>
      </w:r>
      <w:r>
        <w:rPr>
          <w:rFonts w:ascii="宋体" w:hAnsi="宋体"/>
          <w:sz w:val="24"/>
        </w:rPr>
        <w:instrText xml:space="preserve"> TOC \o \h \z \u </w:instrText>
      </w:r>
      <w:r>
        <w:rPr>
          <w:rFonts w:ascii="宋体" w:hAnsi="宋体"/>
          <w:sz w:val="24"/>
        </w:rPr>
        <w:fldChar w:fldCharType="separate"/>
      </w:r>
      <w:r>
        <w:fldChar w:fldCharType="begin"/>
      </w:r>
      <w:r>
        <w:instrText xml:space="preserve"> HYPERLINK \l "_Toc296602401" </w:instrText>
      </w:r>
      <w:r>
        <w:fldChar w:fldCharType="separate"/>
      </w:r>
      <w:r>
        <w:rPr>
          <w:rFonts w:hint="eastAsia" w:ascii="宋体" w:hAnsi="宋体"/>
          <w:sz w:val="24"/>
        </w:rPr>
        <w:t xml:space="preserve">第二章 须知前附表  </w:t>
      </w:r>
      <w:r>
        <w:rPr>
          <w:rFonts w:ascii="宋体" w:hAnsi="宋体"/>
          <w:sz w:val="24"/>
        </w:rPr>
        <w:t>…</w:t>
      </w:r>
      <w:r>
        <w:rPr>
          <w:rStyle w:val="37"/>
          <w:rFonts w:ascii="宋体" w:hAnsi="宋体"/>
          <w:color w:val="auto"/>
          <w:sz w:val="24"/>
        </w:rPr>
        <w:t>……………………………………………………………</w:t>
      </w:r>
      <w:r>
        <w:rPr>
          <w:rStyle w:val="37"/>
          <w:rFonts w:hint="eastAsia" w:ascii="宋体" w:hAnsi="宋体"/>
          <w:color w:val="auto"/>
          <w:sz w:val="24"/>
        </w:rPr>
        <w:t>3</w:t>
      </w:r>
      <w:r>
        <w:rPr>
          <w:rStyle w:val="37"/>
          <w:rFonts w:hint="eastAsia" w:ascii="宋体" w:hAnsi="宋体"/>
          <w:color w:val="auto"/>
          <w:sz w:val="24"/>
        </w:rPr>
        <w:fldChar w:fldCharType="end"/>
      </w:r>
    </w:p>
    <w:p>
      <w:pPr>
        <w:spacing w:line="800" w:lineRule="exact"/>
        <w:rPr>
          <w:rFonts w:ascii="宋体" w:hAnsi="宋体"/>
          <w:sz w:val="24"/>
        </w:rPr>
      </w:pPr>
      <w:r>
        <w:fldChar w:fldCharType="begin"/>
      </w:r>
      <w:r>
        <w:instrText xml:space="preserve"> HYPERLINK \l "_Toc296602418" </w:instrText>
      </w:r>
      <w:r>
        <w:fldChar w:fldCharType="separate"/>
      </w:r>
      <w:r>
        <w:rPr>
          <w:rFonts w:hint="eastAsia" w:ascii="宋体" w:hAnsi="宋体"/>
        </w:rPr>
        <w:t xml:space="preserve">第三章 </w:t>
      </w:r>
      <w:r>
        <w:rPr>
          <w:rFonts w:hint="eastAsia" w:ascii="宋体" w:hAnsi="宋体" w:eastAsia="宋体" w:cs="Times New Roman"/>
          <w:sz w:val="24"/>
        </w:rPr>
        <w:t xml:space="preserve">资格审查办法 </w:t>
      </w:r>
      <w:r>
        <w:rPr>
          <w:rFonts w:ascii="宋体" w:hAnsi="宋体"/>
          <w:sz w:val="24"/>
        </w:rPr>
        <w:t>…</w:t>
      </w:r>
      <w:r>
        <w:rPr>
          <w:rStyle w:val="37"/>
          <w:rFonts w:ascii="宋体" w:hAnsi="宋体"/>
          <w:color w:val="auto"/>
          <w:sz w:val="24"/>
        </w:rPr>
        <w:t>……………………………………………………………</w:t>
      </w:r>
      <w:r>
        <w:rPr>
          <w:rStyle w:val="37"/>
          <w:rFonts w:hint="eastAsia" w:ascii="宋体" w:hAnsi="宋体"/>
          <w:color w:val="auto"/>
          <w:sz w:val="24"/>
        </w:rPr>
        <w:t>8</w:t>
      </w:r>
      <w:r>
        <w:rPr>
          <w:rStyle w:val="37"/>
          <w:rFonts w:hint="eastAsia" w:ascii="宋体" w:hAnsi="宋体"/>
          <w:color w:val="auto"/>
          <w:sz w:val="24"/>
        </w:rPr>
        <w:fldChar w:fldCharType="end"/>
      </w:r>
    </w:p>
    <w:p>
      <w:pPr>
        <w:spacing w:line="800" w:lineRule="exact"/>
        <w:rPr>
          <w:rFonts w:ascii="宋体" w:hAnsi="宋体"/>
          <w:sz w:val="24"/>
        </w:rPr>
      </w:pPr>
      <w:r>
        <w:fldChar w:fldCharType="begin"/>
      </w:r>
      <w:r>
        <w:instrText xml:space="preserve"> HYPERLINK \l "_Toc296602475" </w:instrText>
      </w:r>
      <w:r>
        <w:fldChar w:fldCharType="separate"/>
      </w:r>
      <w:r>
        <w:rPr>
          <w:rFonts w:hint="eastAsia" w:ascii="宋体" w:hAnsi="宋体"/>
          <w:sz w:val="24"/>
        </w:rPr>
        <w:t>第四章 评标办法</w:t>
      </w:r>
      <w:r>
        <w:rPr>
          <w:rFonts w:ascii="宋体" w:hAnsi="宋体"/>
          <w:sz w:val="24"/>
        </w:rPr>
        <w:t>…</w:t>
      </w:r>
      <w:r>
        <w:rPr>
          <w:rStyle w:val="37"/>
          <w:rFonts w:ascii="宋体" w:hAnsi="宋体"/>
          <w:color w:val="auto"/>
          <w:sz w:val="24"/>
        </w:rPr>
        <w:t>…………………………………………………………………</w:t>
      </w:r>
      <w:r>
        <w:rPr>
          <w:rStyle w:val="37"/>
          <w:rFonts w:hint="eastAsia" w:ascii="宋体" w:hAnsi="宋体"/>
          <w:color w:val="auto"/>
          <w:sz w:val="24"/>
        </w:rPr>
        <w:t>9</w:t>
      </w:r>
      <w:r>
        <w:rPr>
          <w:rStyle w:val="37"/>
          <w:rFonts w:hint="eastAsia" w:ascii="宋体" w:hAnsi="宋体"/>
          <w:color w:val="auto"/>
          <w:sz w:val="24"/>
        </w:rPr>
        <w:fldChar w:fldCharType="end"/>
      </w:r>
    </w:p>
    <w:p>
      <w:pPr>
        <w:spacing w:line="800" w:lineRule="exact"/>
        <w:rPr>
          <w:rFonts w:ascii="宋体" w:hAnsi="宋体"/>
          <w:sz w:val="24"/>
        </w:rPr>
      </w:pPr>
      <w:r>
        <w:fldChar w:fldCharType="begin"/>
      </w:r>
      <w:r>
        <w:instrText xml:space="preserve"> HYPERLINK \l "_Toc296602475" </w:instrText>
      </w:r>
      <w:r>
        <w:fldChar w:fldCharType="separate"/>
      </w:r>
      <w:r>
        <w:rPr>
          <w:rFonts w:hint="eastAsia" w:ascii="宋体" w:hAnsi="宋体"/>
          <w:sz w:val="24"/>
        </w:rPr>
        <w:t>第</w:t>
      </w:r>
      <w:r>
        <w:rPr>
          <w:rFonts w:hint="eastAsia" w:ascii="宋体" w:hAnsi="宋体"/>
          <w:sz w:val="24"/>
        </w:rPr>
        <w:fldChar w:fldCharType="end"/>
      </w:r>
      <w:r>
        <w:rPr>
          <w:rFonts w:hint="eastAsia" w:ascii="宋体" w:hAnsi="宋体"/>
          <w:sz w:val="24"/>
        </w:rPr>
        <w:t xml:space="preserve">五章 合同  </w:t>
      </w:r>
      <w:r>
        <w:rPr>
          <w:rFonts w:ascii="宋体" w:hAnsi="宋体"/>
          <w:sz w:val="24"/>
        </w:rPr>
        <w:t>…</w:t>
      </w:r>
      <w:r>
        <w:rPr>
          <w:rStyle w:val="37"/>
          <w:rFonts w:ascii="宋体" w:hAnsi="宋体"/>
          <w:color w:val="auto"/>
          <w:sz w:val="24"/>
        </w:rPr>
        <w:t>…………………………………………………………………</w:t>
      </w:r>
      <w:r>
        <w:rPr>
          <w:rFonts w:ascii="宋体" w:hAnsi="宋体"/>
          <w:sz w:val="24"/>
        </w:rPr>
        <w:t>…</w:t>
      </w:r>
      <w:r>
        <w:rPr>
          <w:rFonts w:hint="eastAsia" w:ascii="宋体" w:hAnsi="宋体"/>
          <w:sz w:val="24"/>
        </w:rPr>
        <w:t>10</w:t>
      </w:r>
    </w:p>
    <w:p>
      <w:pPr>
        <w:spacing w:line="800" w:lineRule="exact"/>
        <w:rPr>
          <w:rFonts w:ascii="宋体" w:hAnsi="宋体"/>
          <w:sz w:val="24"/>
        </w:rPr>
      </w:pPr>
      <w:r>
        <w:fldChar w:fldCharType="begin"/>
      </w:r>
      <w:r>
        <w:instrText xml:space="preserve"> HYPERLINK \l "_Toc296602475" </w:instrText>
      </w:r>
      <w:r>
        <w:fldChar w:fldCharType="separate"/>
      </w:r>
      <w:r>
        <w:rPr>
          <w:rFonts w:hint="eastAsia" w:ascii="宋体" w:hAnsi="宋体"/>
          <w:sz w:val="24"/>
        </w:rPr>
        <w:t>第六章</w:t>
      </w:r>
      <w:r>
        <w:rPr>
          <w:rStyle w:val="37"/>
          <w:rFonts w:hint="eastAsia" w:ascii="宋体" w:hAnsi="宋体"/>
          <w:color w:val="auto"/>
          <w:sz w:val="24"/>
        </w:rPr>
        <w:t xml:space="preserve">投标文件格式 </w:t>
      </w:r>
      <w:r>
        <w:rPr>
          <w:rFonts w:ascii="宋体" w:hAnsi="宋体"/>
          <w:sz w:val="24"/>
        </w:rPr>
        <w:t>…………………………………………………………</w:t>
      </w:r>
      <w:r>
        <w:rPr>
          <w:rFonts w:ascii="宋体" w:hAnsi="宋体"/>
          <w:sz w:val="24"/>
        </w:rPr>
        <w:fldChar w:fldCharType="end"/>
      </w:r>
      <w:r>
        <w:rPr>
          <w:rFonts w:ascii="宋体" w:hAnsi="宋体"/>
          <w:sz w:val="24"/>
        </w:rPr>
        <w:t>……</w:t>
      </w:r>
      <w:r>
        <w:rPr>
          <w:rFonts w:hint="eastAsia" w:ascii="宋体" w:hAnsi="宋体"/>
          <w:sz w:val="24"/>
        </w:rPr>
        <w:t>27</w:t>
      </w:r>
    </w:p>
    <w:p>
      <w:pPr>
        <w:spacing w:line="800" w:lineRule="exact"/>
        <w:rPr>
          <w:rFonts w:ascii="宋体" w:hAnsi="宋体"/>
          <w:sz w:val="24"/>
        </w:rPr>
      </w:pPr>
      <w:r>
        <w:rPr>
          <w:rFonts w:hint="eastAsia" w:ascii="宋体" w:hAnsi="宋体"/>
          <w:sz w:val="24"/>
        </w:rPr>
        <w:t>第七章</w:t>
      </w:r>
      <w:r>
        <w:fldChar w:fldCharType="begin"/>
      </w:r>
      <w:r>
        <w:instrText xml:space="preserve"> HYPERLINK \l "_Toc338846156" </w:instrText>
      </w:r>
      <w:r>
        <w:fldChar w:fldCharType="separate"/>
      </w:r>
      <w:r>
        <w:rPr>
          <w:rStyle w:val="37"/>
          <w:rFonts w:hint="eastAsia" w:ascii="宋体" w:hAnsi="宋体"/>
          <w:color w:val="auto"/>
          <w:sz w:val="24"/>
        </w:rPr>
        <w:t>招标单位、招标代理机构、对本</w:t>
      </w:r>
      <w:r>
        <w:rPr>
          <w:rStyle w:val="37"/>
          <w:rFonts w:hint="eastAsia" w:ascii="宋体" w:hAnsi="宋体"/>
          <w:color w:val="auto"/>
          <w:sz w:val="24"/>
          <w:lang w:val="en-US" w:eastAsia="zh-CN"/>
        </w:rPr>
        <w:t>招标</w:t>
      </w:r>
      <w:r>
        <w:rPr>
          <w:rStyle w:val="37"/>
          <w:rFonts w:hint="eastAsia" w:ascii="宋体" w:hAnsi="宋体"/>
          <w:color w:val="auto"/>
          <w:sz w:val="24"/>
        </w:rPr>
        <w:t>文件的确认</w:t>
      </w:r>
      <w:r>
        <w:rPr>
          <w:rStyle w:val="37"/>
          <w:rFonts w:hint="eastAsia" w:ascii="宋体" w:hAnsi="宋体"/>
          <w:color w:val="auto"/>
          <w:sz w:val="24"/>
        </w:rPr>
        <w:fldChar w:fldCharType="end"/>
      </w:r>
      <w:r>
        <w:rPr>
          <w:rStyle w:val="37"/>
          <w:rFonts w:ascii="宋体" w:hAnsi="宋体"/>
          <w:color w:val="auto"/>
          <w:sz w:val="24"/>
        </w:rPr>
        <w:t>…………………………</w:t>
      </w:r>
      <w:r>
        <w:rPr>
          <w:rStyle w:val="37"/>
          <w:rFonts w:hint="eastAsia" w:ascii="宋体" w:hAnsi="宋体"/>
          <w:color w:val="auto"/>
          <w:sz w:val="24"/>
        </w:rPr>
        <w:t>34</w:t>
      </w:r>
    </w:p>
    <w:p>
      <w:pPr>
        <w:spacing w:line="800" w:lineRule="exact"/>
        <w:rPr>
          <w:rFonts w:ascii="宋体" w:hAnsi="宋体"/>
          <w:sz w:val="24"/>
        </w:rPr>
      </w:pPr>
    </w:p>
    <w:p>
      <w:pPr>
        <w:spacing w:line="400" w:lineRule="exact"/>
        <w:ind w:firstLine="352" w:firstLineChars="147"/>
        <w:rPr>
          <w:rFonts w:ascii="宋体" w:hAnsi="宋体"/>
          <w:sz w:val="24"/>
        </w:rPr>
      </w:pPr>
    </w:p>
    <w:p>
      <w:pPr>
        <w:spacing w:line="400" w:lineRule="exact"/>
        <w:ind w:firstLine="352" w:firstLineChars="147"/>
        <w:rPr>
          <w:rFonts w:ascii="宋体" w:hAnsi="宋体"/>
          <w:sz w:val="24"/>
        </w:rPr>
      </w:pPr>
    </w:p>
    <w:p>
      <w:pPr>
        <w:spacing w:line="400" w:lineRule="exact"/>
        <w:ind w:firstLine="352" w:firstLineChars="147"/>
        <w:rPr>
          <w:rFonts w:ascii="宋体" w:hAnsi="宋体"/>
          <w:sz w:val="24"/>
        </w:rPr>
      </w:pPr>
    </w:p>
    <w:p>
      <w:pPr>
        <w:spacing w:line="400" w:lineRule="exact"/>
        <w:rPr>
          <w:rFonts w:ascii="宋体" w:hAnsi="宋体"/>
          <w:sz w:val="32"/>
          <w:szCs w:val="32"/>
        </w:rPr>
      </w:pPr>
    </w:p>
    <w:p>
      <w:pPr>
        <w:pStyle w:val="6"/>
        <w:spacing w:before="0" w:after="0" w:line="240" w:lineRule="auto"/>
        <w:jc w:val="center"/>
        <w:rPr>
          <w:rFonts w:ascii="宋体" w:hAnsi="宋体"/>
          <w:sz w:val="24"/>
        </w:rPr>
      </w:pPr>
      <w:r>
        <w:rPr>
          <w:rFonts w:ascii="宋体" w:hAnsi="宋体"/>
          <w:sz w:val="24"/>
        </w:rPr>
        <w:fldChar w:fldCharType="end"/>
      </w:r>
      <w:bookmarkEnd w:id="4"/>
      <w:bookmarkEnd w:id="5"/>
      <w:bookmarkEnd w:id="6"/>
    </w:p>
    <w:p>
      <w:pPr>
        <w:pStyle w:val="6"/>
        <w:spacing w:before="0" w:after="0" w:line="240" w:lineRule="auto"/>
        <w:jc w:val="center"/>
        <w:rPr>
          <w:rFonts w:ascii="宋体" w:hAnsi="宋体" w:cs="宋体"/>
          <w:color w:val="000000"/>
          <w:sz w:val="32"/>
          <w:szCs w:val="32"/>
        </w:rPr>
        <w:sectPr>
          <w:headerReference r:id="rId8" w:type="first"/>
          <w:headerReference r:id="rId7" w:type="default"/>
          <w:footerReference r:id="rId9" w:type="default"/>
          <w:footerReference r:id="rId10" w:type="even"/>
          <w:pgSz w:w="11906" w:h="16838"/>
          <w:pgMar w:top="1440" w:right="1646" w:bottom="1440" w:left="1800" w:header="851" w:footer="992" w:gutter="0"/>
          <w:pgNumType w:start="1"/>
          <w:cols w:space="720" w:num="1"/>
          <w:titlePg/>
          <w:docGrid w:type="lines" w:linePitch="312" w:charSpace="0"/>
        </w:sectPr>
      </w:pPr>
    </w:p>
    <w:bookmarkEnd w:id="2"/>
    <w:bookmarkEnd w:id="3"/>
    <w:p>
      <w:pPr>
        <w:pStyle w:val="6"/>
        <w:spacing w:before="0" w:after="0"/>
        <w:jc w:val="center"/>
        <w:rPr>
          <w:rFonts w:hint="eastAsia" w:eastAsia="宋体"/>
          <w:sz w:val="36"/>
          <w:szCs w:val="30"/>
          <w:lang w:eastAsia="zh-CN"/>
        </w:rPr>
      </w:pPr>
      <w:bookmarkStart w:id="7" w:name="_Toc47016627"/>
      <w:bookmarkStart w:id="8" w:name="_Toc65568569"/>
      <w:r>
        <w:rPr>
          <w:rFonts w:hint="eastAsia"/>
          <w:sz w:val="36"/>
          <w:szCs w:val="30"/>
          <w:lang w:eastAsia="zh-CN"/>
        </w:rPr>
        <w:t>安徽滁州技师学院新校区信息化建设跟踪(结算)审计服务采购项目</w:t>
      </w:r>
      <w:bookmarkEnd w:id="7"/>
      <w:bookmarkEnd w:id="8"/>
      <w:r>
        <w:rPr>
          <w:rFonts w:hint="eastAsia"/>
          <w:sz w:val="36"/>
          <w:szCs w:val="30"/>
          <w:lang w:eastAsia="zh-CN"/>
        </w:rPr>
        <w:t>招标公告</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受滁州市机电工程学校委托，现对</w:t>
      </w:r>
      <w:r>
        <w:rPr>
          <w:rFonts w:hint="eastAsia" w:ascii="宋体" w:hAnsi="宋体" w:cs="宋体"/>
          <w:kern w:val="0"/>
          <w:sz w:val="24"/>
          <w:lang w:eastAsia="zh-CN"/>
        </w:rPr>
        <w:t>安徽滁州技师学院新校区信息化建设跟踪(结算)审计服务采购项目</w:t>
      </w:r>
      <w:r>
        <w:rPr>
          <w:rFonts w:hint="eastAsia" w:ascii="宋体" w:hAnsi="宋体" w:cs="宋体"/>
          <w:kern w:val="0"/>
          <w:sz w:val="24"/>
        </w:rPr>
        <w:t>公开招标，欢迎符合条件的潜在投标人参加本项目投标。</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 xml:space="preserve">一、项目概况如下： </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（1）项目名称：</w:t>
      </w:r>
      <w:r>
        <w:rPr>
          <w:rFonts w:hint="eastAsia" w:ascii="宋体" w:hAnsi="宋体" w:cs="宋体"/>
          <w:kern w:val="0"/>
          <w:sz w:val="24"/>
          <w:lang w:eastAsia="zh-CN"/>
        </w:rPr>
        <w:t>安徽滁州技师学院新校区信息化建设跟踪(结算)审计服务采购项目</w:t>
      </w:r>
      <w:r>
        <w:rPr>
          <w:rFonts w:hint="eastAsia" w:ascii="宋体" w:hAnsi="宋体" w:cs="宋体"/>
          <w:kern w:val="0"/>
          <w:sz w:val="24"/>
        </w:rPr>
        <w:t>；</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（2）项目建设地点：</w:t>
      </w:r>
      <w:r>
        <w:rPr>
          <w:rFonts w:hint="eastAsia" w:ascii="宋体" w:hAnsi="宋体" w:cs="宋体"/>
          <w:kern w:val="0"/>
          <w:sz w:val="24"/>
          <w:lang w:eastAsia="zh-CN"/>
        </w:rPr>
        <w:t>安</w:t>
      </w:r>
      <w:r>
        <w:rPr>
          <w:rFonts w:hint="eastAsia" w:ascii="宋体" w:hAnsi="宋体" w:cs="宋体"/>
          <w:kern w:val="0"/>
          <w:sz w:val="24"/>
        </w:rPr>
        <w:t>徽滁州技师学院新校区；</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（3）项目概况：本项目为</w:t>
      </w:r>
      <w:r>
        <w:rPr>
          <w:rFonts w:hint="eastAsia" w:ascii="宋体" w:hAnsi="宋体" w:cs="宋体"/>
          <w:kern w:val="0"/>
          <w:sz w:val="24"/>
          <w:lang w:eastAsia="zh-CN"/>
        </w:rPr>
        <w:t>安徽滁州技师学院新校区信息化建设跟踪(结算)审计服务采购项目</w:t>
      </w:r>
      <w:r>
        <w:rPr>
          <w:rFonts w:hint="eastAsia" w:ascii="宋体" w:hAnsi="宋体" w:cs="宋体"/>
          <w:kern w:val="0"/>
          <w:sz w:val="24"/>
        </w:rPr>
        <w:t>。</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（4）标段划分：一个标段；</w:t>
      </w:r>
    </w:p>
    <w:p>
      <w:pPr>
        <w:widowControl/>
        <w:spacing w:line="500" w:lineRule="exact"/>
        <w:ind w:left="-420" w:leftChars="-200" w:right="-359" w:rightChars="-171" w:firstLine="480" w:firstLineChars="200"/>
        <w:jc w:val="left"/>
        <w:rPr>
          <w:rFonts w:ascii="宋体" w:hAnsi="宋体" w:cs="宋体"/>
          <w:color w:val="auto"/>
          <w:kern w:val="0"/>
          <w:sz w:val="24"/>
        </w:rPr>
      </w:pPr>
      <w:r>
        <w:rPr>
          <w:rFonts w:hint="eastAsia" w:ascii="宋体" w:hAnsi="宋体" w:cs="宋体"/>
          <w:kern w:val="0"/>
          <w:sz w:val="24"/>
        </w:rPr>
        <w:t>（5）项目投资：本项目建安预算约5000万元，</w:t>
      </w:r>
      <w:r>
        <w:rPr>
          <w:rFonts w:hint="eastAsia" w:ascii="宋体" w:hAnsi="宋体" w:cs="宋体"/>
          <w:color w:val="auto"/>
          <w:kern w:val="0"/>
          <w:sz w:val="24"/>
          <w:lang w:eastAsia="zh-CN"/>
        </w:rPr>
        <w:t>跟踪(结算)审计服务</w:t>
      </w:r>
      <w:r>
        <w:rPr>
          <w:rFonts w:hint="eastAsia" w:ascii="宋体" w:hAnsi="宋体" w:cs="宋体"/>
          <w:color w:val="auto"/>
          <w:kern w:val="0"/>
          <w:sz w:val="24"/>
        </w:rPr>
        <w:t>固定费用</w:t>
      </w:r>
      <w:r>
        <w:rPr>
          <w:rFonts w:hint="eastAsia" w:ascii="宋体" w:hAnsi="宋体" w:cs="宋体"/>
          <w:color w:val="auto"/>
          <w:kern w:val="0"/>
          <w:sz w:val="24"/>
          <w:lang w:val="en-US" w:eastAsia="zh-CN"/>
        </w:rPr>
        <w:t>10.0</w:t>
      </w:r>
      <w:r>
        <w:rPr>
          <w:rFonts w:hint="eastAsia" w:ascii="宋体" w:hAnsi="宋体" w:cs="宋体"/>
          <w:color w:val="auto"/>
          <w:kern w:val="0"/>
          <w:sz w:val="24"/>
        </w:rPr>
        <w:t>万元，资金来源为财政资金，已落实到位；</w:t>
      </w:r>
    </w:p>
    <w:p>
      <w:pPr>
        <w:widowControl/>
        <w:spacing w:line="500" w:lineRule="exact"/>
        <w:ind w:left="-420" w:leftChars="-200" w:right="-359" w:rightChars="-171" w:firstLine="480" w:firstLineChars="200"/>
        <w:jc w:val="left"/>
        <w:rPr>
          <w:rFonts w:hint="eastAsia" w:ascii="宋体" w:hAnsi="宋体" w:eastAsia="宋体" w:cs="宋体"/>
          <w:color w:val="auto"/>
          <w:kern w:val="0"/>
          <w:sz w:val="24"/>
          <w:lang w:eastAsia="zh-CN"/>
        </w:rPr>
      </w:pPr>
      <w:bookmarkStart w:id="9" w:name="_Toc534906005"/>
      <w:bookmarkStart w:id="10" w:name="_Toc7180345"/>
      <w:r>
        <w:rPr>
          <w:rFonts w:hint="eastAsia" w:ascii="宋体" w:hAnsi="宋体" w:cs="宋体"/>
          <w:color w:val="auto"/>
          <w:kern w:val="0"/>
          <w:sz w:val="24"/>
        </w:rPr>
        <w:t>（6）工期要求：</w:t>
      </w:r>
      <w:r>
        <w:rPr>
          <w:rFonts w:hint="eastAsia" w:ascii="宋体" w:hAnsi="宋体" w:cs="宋体"/>
          <w:color w:val="auto"/>
          <w:kern w:val="0"/>
          <w:sz w:val="24"/>
          <w:lang w:val="en-US" w:eastAsia="zh-CN"/>
        </w:rPr>
        <w:t>同施工工期</w:t>
      </w:r>
      <w:r>
        <w:rPr>
          <w:rFonts w:hint="eastAsia" w:ascii="宋体" w:hAnsi="宋体" w:cs="宋体"/>
          <w:color w:val="auto"/>
          <w:kern w:val="0"/>
          <w:sz w:val="24"/>
        </w:rPr>
        <w:t>（合同签订之日起至项目竣工验收）</w:t>
      </w:r>
      <w:bookmarkEnd w:id="9"/>
      <w:bookmarkEnd w:id="10"/>
      <w:r>
        <w:rPr>
          <w:rFonts w:hint="eastAsia" w:ascii="宋体" w:hAnsi="宋体" w:cs="宋体"/>
          <w:color w:val="auto"/>
          <w:kern w:val="0"/>
          <w:sz w:val="24"/>
          <w:lang w:eastAsia="zh-CN"/>
        </w:rPr>
        <w:t>；</w:t>
      </w:r>
    </w:p>
    <w:p>
      <w:pPr>
        <w:widowControl/>
        <w:spacing w:line="500" w:lineRule="exact"/>
        <w:ind w:left="-420" w:leftChars="-200" w:right="-359" w:rightChars="-171" w:firstLine="480" w:firstLineChars="200"/>
        <w:jc w:val="left"/>
        <w:rPr>
          <w:rFonts w:hint="eastAsia" w:ascii="宋体" w:hAnsi="宋体" w:eastAsia="宋体" w:cs="宋体"/>
          <w:kern w:val="0"/>
          <w:sz w:val="24"/>
          <w:lang w:eastAsia="zh-CN"/>
        </w:rPr>
      </w:pPr>
      <w:r>
        <w:rPr>
          <w:rFonts w:hint="eastAsia" w:ascii="宋体" w:hAnsi="宋体" w:cs="宋体"/>
          <w:kern w:val="0"/>
          <w:sz w:val="24"/>
        </w:rPr>
        <w:t>（7）服务范围：安徽滁州技师学院新校区信息化建设项目跟踪(结算)审计服务</w:t>
      </w:r>
      <w:r>
        <w:rPr>
          <w:rFonts w:hint="eastAsia" w:ascii="宋体" w:hAnsi="宋体" w:cs="宋体"/>
          <w:kern w:val="0"/>
          <w:sz w:val="24"/>
          <w:lang w:eastAsia="zh-CN"/>
        </w:rPr>
        <w:t>；</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（8）服务要求：</w:t>
      </w:r>
      <w:r>
        <w:rPr>
          <w:rFonts w:hint="eastAsia" w:ascii="宋体" w:hAnsi="宋体" w:eastAsia="宋体" w:cs="宋体"/>
          <w:kern w:val="0"/>
          <w:sz w:val="24"/>
          <w:lang w:val="en-US" w:eastAsia="zh-CN"/>
        </w:rPr>
        <w:t>本项目跟踪审计（含结算审计）</w:t>
      </w:r>
      <w:r>
        <w:rPr>
          <w:rFonts w:hint="eastAsia" w:ascii="宋体" w:hAnsi="宋体" w:eastAsia="宋体" w:cs="宋体"/>
          <w:kern w:val="0"/>
          <w:sz w:val="24"/>
        </w:rPr>
        <w:t>。</w:t>
      </w:r>
    </w:p>
    <w:p>
      <w:pPr>
        <w:widowControl/>
        <w:spacing w:line="500" w:lineRule="exact"/>
        <w:ind w:left="-420" w:leftChars="-200" w:right="-359" w:rightChars="-171" w:firstLine="480" w:firstLineChars="200"/>
        <w:jc w:val="left"/>
        <w:rPr>
          <w:rFonts w:hint="eastAsia" w:ascii="宋体" w:hAnsi="宋体" w:cs="宋体"/>
          <w:kern w:val="0"/>
          <w:sz w:val="24"/>
        </w:rPr>
      </w:pPr>
      <w:r>
        <w:rPr>
          <w:rFonts w:hint="eastAsia" w:ascii="宋体" w:hAnsi="宋体" w:cs="宋体"/>
          <w:kern w:val="0"/>
          <w:sz w:val="24"/>
        </w:rPr>
        <w:t>（9）投标资格要求：</w:t>
      </w:r>
    </w:p>
    <w:p>
      <w:pPr>
        <w:widowControl/>
        <w:spacing w:line="500" w:lineRule="exact"/>
        <w:ind w:left="-420" w:leftChars="-200" w:right="-359" w:rightChars="-171" w:firstLine="480" w:firstLineChars="200"/>
        <w:jc w:val="left"/>
        <w:rPr>
          <w:rFonts w:ascii="宋体" w:hAnsi="宋体" w:cs="宋体"/>
          <w:color w:val="auto"/>
          <w:kern w:val="0"/>
          <w:sz w:val="24"/>
        </w:rPr>
      </w:pPr>
      <w:r>
        <w:rPr>
          <w:rFonts w:hint="eastAsia" w:ascii="宋体" w:hAnsi="宋体" w:cs="宋体"/>
          <w:color w:val="auto"/>
          <w:kern w:val="0"/>
          <w:sz w:val="24"/>
        </w:rPr>
        <w:t>1、企业资质要求：</w:t>
      </w:r>
      <w:r>
        <w:rPr>
          <w:rFonts w:hint="eastAsia" w:asciiTheme="minorEastAsia" w:hAnsiTheme="minorEastAsia" w:eastAsiaTheme="minorEastAsia" w:cstheme="minorEastAsia"/>
          <w:color w:val="auto"/>
          <w:sz w:val="24"/>
          <w:szCs w:val="24"/>
          <w:highlight w:val="none"/>
        </w:rPr>
        <w:t>具有独立法人资格且具有相应服务能力的企业；</w:t>
      </w:r>
    </w:p>
    <w:p>
      <w:pPr>
        <w:widowControl/>
        <w:spacing w:line="500" w:lineRule="exact"/>
        <w:ind w:right="-359" w:rightChars="-171"/>
        <w:jc w:val="left"/>
        <w:rPr>
          <w:rFonts w:hint="eastAsia" w:ascii="宋体" w:hAnsi="宋体" w:cs="宋体"/>
          <w:color w:val="auto"/>
          <w:kern w:val="0"/>
          <w:sz w:val="24"/>
        </w:rPr>
      </w:pPr>
      <w:r>
        <w:rPr>
          <w:rFonts w:hint="eastAsia" w:ascii="宋体" w:hAnsi="宋体" w:cs="宋体"/>
          <w:color w:val="auto"/>
          <w:kern w:val="0"/>
          <w:sz w:val="24"/>
        </w:rPr>
        <w:t>2、项目负责人资质要求：拟派项目负责人必须是在投标单位注册的安装专业一级注册造价工程师；</w:t>
      </w:r>
    </w:p>
    <w:p>
      <w:pPr>
        <w:widowControl/>
        <w:numPr>
          <w:ilvl w:val="0"/>
          <w:numId w:val="0"/>
        </w:numPr>
        <w:spacing w:line="500" w:lineRule="exact"/>
        <w:ind w:right="-359" w:rightChars="-171"/>
        <w:jc w:val="left"/>
        <w:rPr>
          <w:rFonts w:hint="eastAsia"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业绩要求：</w:t>
      </w:r>
      <w:r>
        <w:rPr>
          <w:rFonts w:hint="default" w:ascii="Calibri" w:hAnsi="Calibri" w:cs="Calibri"/>
          <w:color w:val="auto"/>
          <w:kern w:val="0"/>
          <w:sz w:val="24"/>
        </w:rPr>
        <w:t>①</w:t>
      </w:r>
      <w:r>
        <w:rPr>
          <w:rFonts w:hint="eastAsia" w:ascii="宋体" w:hAnsi="宋体" w:cs="宋体"/>
          <w:color w:val="auto"/>
          <w:kern w:val="0"/>
          <w:sz w:val="24"/>
        </w:rPr>
        <w:t>企业具有1</w:t>
      </w:r>
      <w:r>
        <w:rPr>
          <w:rFonts w:hint="eastAsia" w:ascii="宋体" w:hAnsi="宋体" w:cs="宋体"/>
          <w:color w:val="auto"/>
          <w:kern w:val="0"/>
          <w:sz w:val="24"/>
          <w:lang w:val="en-US" w:eastAsia="zh-CN"/>
        </w:rPr>
        <w:t>0</w:t>
      </w:r>
      <w:r>
        <w:rPr>
          <w:rFonts w:hint="eastAsia" w:ascii="宋体" w:hAnsi="宋体" w:cs="宋体"/>
          <w:color w:val="auto"/>
          <w:kern w:val="0"/>
          <w:sz w:val="24"/>
        </w:rPr>
        <w:t>00万及以上类似信息化工程</w:t>
      </w:r>
      <w:r>
        <w:rPr>
          <w:rFonts w:hint="eastAsia" w:ascii="宋体" w:hAnsi="宋体" w:cs="宋体"/>
          <w:color w:val="auto"/>
          <w:kern w:val="0"/>
          <w:sz w:val="24"/>
          <w:lang w:val="en-US" w:eastAsia="zh-CN"/>
        </w:rPr>
        <w:t>跟踪（结算）审计</w:t>
      </w:r>
      <w:r>
        <w:rPr>
          <w:rFonts w:hint="eastAsia" w:ascii="宋体" w:hAnsi="宋体" w:cs="宋体"/>
          <w:color w:val="auto"/>
          <w:kern w:val="0"/>
          <w:sz w:val="24"/>
        </w:rPr>
        <w:t>服务业绩，</w:t>
      </w:r>
      <w:r>
        <w:rPr>
          <w:rFonts w:hint="default" w:ascii="Calibri" w:hAnsi="Calibri" w:cs="Calibri"/>
          <w:color w:val="auto"/>
          <w:kern w:val="0"/>
          <w:sz w:val="24"/>
        </w:rPr>
        <w:t>②</w:t>
      </w:r>
      <w:r>
        <w:rPr>
          <w:rFonts w:hint="eastAsia" w:ascii="宋体" w:hAnsi="宋体" w:cs="宋体"/>
          <w:color w:val="auto"/>
          <w:kern w:val="0"/>
          <w:sz w:val="24"/>
        </w:rPr>
        <w:t>项目负责人具有</w:t>
      </w:r>
      <w:r>
        <w:rPr>
          <w:rFonts w:hint="eastAsia" w:ascii="宋体" w:hAnsi="宋体" w:cs="宋体"/>
          <w:color w:val="auto"/>
          <w:kern w:val="0"/>
          <w:sz w:val="24"/>
          <w:lang w:val="en-US" w:eastAsia="zh-CN"/>
        </w:rPr>
        <w:t>10</w:t>
      </w:r>
      <w:r>
        <w:rPr>
          <w:rFonts w:hint="eastAsia" w:ascii="宋体" w:hAnsi="宋体" w:cs="宋体"/>
          <w:color w:val="auto"/>
          <w:kern w:val="0"/>
          <w:sz w:val="24"/>
        </w:rPr>
        <w:t>00万及以上类似信息化工程</w:t>
      </w:r>
      <w:r>
        <w:rPr>
          <w:rFonts w:hint="eastAsia" w:ascii="宋体" w:hAnsi="宋体" w:cs="宋体"/>
          <w:color w:val="auto"/>
          <w:kern w:val="0"/>
          <w:sz w:val="24"/>
          <w:lang w:val="en-US" w:eastAsia="zh-CN"/>
        </w:rPr>
        <w:t>跟踪（结算）审计</w:t>
      </w:r>
      <w:r>
        <w:rPr>
          <w:rFonts w:hint="eastAsia" w:ascii="宋体" w:hAnsi="宋体" w:cs="宋体"/>
          <w:color w:val="auto"/>
          <w:kern w:val="0"/>
          <w:sz w:val="24"/>
        </w:rPr>
        <w:t>服务业绩。注</w:t>
      </w:r>
      <w:r>
        <w:rPr>
          <w:rFonts w:hint="eastAsia" w:ascii="宋体" w:hAnsi="宋体" w:cs="宋体"/>
          <w:color w:val="auto"/>
          <w:kern w:val="0"/>
          <w:sz w:val="24"/>
          <w:lang w:eastAsia="zh-CN"/>
        </w:rPr>
        <w:t>：</w:t>
      </w:r>
      <w:r>
        <w:rPr>
          <w:rFonts w:hint="eastAsia" w:ascii="宋体" w:hAnsi="宋体" w:cs="宋体"/>
          <w:color w:val="auto"/>
          <w:kern w:val="0"/>
          <w:sz w:val="24"/>
        </w:rPr>
        <w:t>企业业绩和项目负责人业绩可为同一业绩</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提供合同及审计报告。</w:t>
      </w:r>
    </w:p>
    <w:p>
      <w:pPr>
        <w:pStyle w:val="65"/>
        <w:numPr>
          <w:ilvl w:val="0"/>
          <w:numId w:val="0"/>
        </w:numPr>
      </w:pPr>
      <w:r>
        <w:rPr>
          <w:rFonts w:hint="eastAsia" w:ascii="宋体" w:hAnsi="宋体" w:eastAsia="宋体" w:cs="Times New Roman"/>
          <w:color w:val="000000"/>
          <w:sz w:val="24"/>
          <w:szCs w:val="24"/>
          <w:u w:val="none"/>
          <w:lang w:val="en-US" w:eastAsia="zh-CN"/>
        </w:rPr>
        <w:t>4.</w:t>
      </w:r>
      <w:r>
        <w:rPr>
          <w:rFonts w:hint="eastAsia" w:ascii="宋体" w:hAnsi="宋体" w:eastAsia="宋体" w:cs="Times New Roman"/>
          <w:color w:val="000000"/>
          <w:sz w:val="24"/>
          <w:szCs w:val="24"/>
          <w:u w:val="none"/>
        </w:rPr>
        <w:t>项目组人员配备要求</w:t>
      </w:r>
      <w:r>
        <w:rPr>
          <w:rFonts w:hint="eastAsia" w:ascii="宋体" w:hAnsi="宋体" w:eastAsia="宋体" w:cs="Times New Roman"/>
          <w:color w:val="000000"/>
          <w:sz w:val="24"/>
          <w:szCs w:val="24"/>
          <w:u w:val="none"/>
          <w:lang w:eastAsia="zh-CN"/>
        </w:rPr>
        <w:t>：</w:t>
      </w:r>
      <w:r>
        <w:rPr>
          <w:rFonts w:hint="eastAsia" w:ascii="宋体" w:hAnsi="宋体" w:eastAsia="宋体" w:cs="Times New Roman"/>
          <w:color w:val="000000"/>
          <w:sz w:val="24"/>
          <w:szCs w:val="24"/>
          <w:u w:val="none"/>
        </w:rPr>
        <w:t>注册造价</w:t>
      </w:r>
      <w:r>
        <w:rPr>
          <w:rFonts w:hint="eastAsia" w:cs="Times New Roman"/>
          <w:color w:val="000000"/>
          <w:sz w:val="24"/>
          <w:szCs w:val="24"/>
          <w:u w:val="none"/>
          <w:lang w:val="en-US" w:eastAsia="zh-CN"/>
        </w:rPr>
        <w:t>工程</w:t>
      </w:r>
      <w:r>
        <w:rPr>
          <w:rFonts w:hint="eastAsia" w:ascii="宋体" w:hAnsi="宋体" w:eastAsia="宋体" w:cs="Times New Roman"/>
          <w:color w:val="000000"/>
          <w:sz w:val="24"/>
          <w:szCs w:val="24"/>
          <w:u w:val="none"/>
        </w:rPr>
        <w:t>师（或一级造价师）1名、造价员（或二级造价师）1名，提供项目组人员</w:t>
      </w:r>
      <w:r>
        <w:rPr>
          <w:rFonts w:hint="eastAsia" w:cs="Times New Roman"/>
          <w:color w:val="000000"/>
          <w:sz w:val="24"/>
          <w:szCs w:val="24"/>
          <w:u w:val="none"/>
          <w:lang w:val="en-US" w:eastAsia="zh-CN"/>
        </w:rPr>
        <w:t>资格</w:t>
      </w:r>
      <w:r>
        <w:rPr>
          <w:rFonts w:hint="eastAsia" w:ascii="宋体" w:hAnsi="宋体" w:eastAsia="宋体" w:cs="Times New Roman"/>
          <w:color w:val="000000"/>
          <w:sz w:val="24"/>
          <w:szCs w:val="24"/>
          <w:u w:val="none"/>
        </w:rPr>
        <w:t>证书。</w:t>
      </w:r>
    </w:p>
    <w:p>
      <w:pPr>
        <w:widowControl/>
        <w:spacing w:line="500" w:lineRule="exact"/>
        <w:ind w:right="-359" w:rightChars="-171"/>
        <w:jc w:val="left"/>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、信誉要求：投标人不得存在以下情形：</w:t>
      </w:r>
    </w:p>
    <w:p>
      <w:pPr>
        <w:widowControl/>
        <w:numPr>
          <w:ilvl w:val="0"/>
          <w:numId w:val="0"/>
        </w:numPr>
        <w:spacing w:line="500" w:lineRule="exact"/>
        <w:ind w:right="-359" w:rightChars="-171"/>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①投标人被人民法院列入失信被执行人的；</w:t>
      </w:r>
    </w:p>
    <w:p>
      <w:pPr>
        <w:widowControl/>
        <w:numPr>
          <w:ilvl w:val="0"/>
          <w:numId w:val="0"/>
        </w:numPr>
        <w:spacing w:line="500" w:lineRule="exact"/>
        <w:ind w:right="-359" w:rightChars="-171"/>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②投标人或其法定代表人或拟派项目经理（项目负责人）前三年有行贿犯罪行为的；</w:t>
      </w:r>
    </w:p>
    <w:p>
      <w:pPr>
        <w:widowControl/>
        <w:numPr>
          <w:ilvl w:val="0"/>
          <w:numId w:val="0"/>
        </w:numPr>
        <w:spacing w:line="500" w:lineRule="exact"/>
        <w:ind w:right="-359" w:rightChars="-171"/>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③投标人被市场监督管理部门列入经营异常名录或者严重违法企业名单，且未被移除的；</w:t>
      </w:r>
    </w:p>
    <w:p>
      <w:pPr>
        <w:widowControl/>
        <w:numPr>
          <w:ilvl w:val="0"/>
          <w:numId w:val="0"/>
        </w:numPr>
        <w:spacing w:line="500" w:lineRule="exact"/>
        <w:ind w:right="-359" w:rightChars="-171"/>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④投标人被税务部门列入重大税收违法案件当事人的；</w:t>
      </w:r>
    </w:p>
    <w:p>
      <w:pPr>
        <w:widowControl/>
        <w:numPr>
          <w:ilvl w:val="0"/>
          <w:numId w:val="0"/>
        </w:numPr>
        <w:spacing w:line="500" w:lineRule="exact"/>
        <w:ind w:right="-359" w:rightChars="-171"/>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⑤投标人被政府采购监管部门列入政府采购严重违法失信行为记录名单的；</w:t>
      </w:r>
    </w:p>
    <w:p>
      <w:pPr>
        <w:widowControl/>
        <w:numPr>
          <w:ilvl w:val="0"/>
          <w:numId w:val="0"/>
        </w:numPr>
        <w:spacing w:line="500" w:lineRule="exact"/>
        <w:ind w:right="-359" w:rightChars="-171"/>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⑥在“信用中国”网站上披露仍在公示期的严重失信行为的。</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、投标人所属分公司、办事处等分支机构存在第</w:t>
      </w:r>
      <w:r>
        <w:rPr>
          <w:rFonts w:hint="eastAsia" w:ascii="宋体" w:hAnsi="宋体" w:cs="宋体"/>
          <w:kern w:val="0"/>
          <w:sz w:val="24"/>
          <w:lang w:val="en-US" w:eastAsia="zh-CN"/>
        </w:rPr>
        <w:t>5</w:t>
      </w:r>
      <w:r>
        <w:rPr>
          <w:rFonts w:hint="eastAsia" w:ascii="宋体" w:hAnsi="宋体" w:cs="宋体"/>
          <w:kern w:val="0"/>
          <w:sz w:val="24"/>
        </w:rPr>
        <w:t>条信誉要求①-</w:t>
      </w:r>
      <w:r>
        <w:rPr>
          <w:rFonts w:hint="eastAsia" w:ascii="宋体" w:hAnsi="宋体" w:eastAsia="宋体" w:cs="Times New Roman"/>
          <w:color w:val="000000"/>
          <w:kern w:val="0"/>
          <w:sz w:val="24"/>
          <w:szCs w:val="24"/>
          <w:u w:val="none"/>
          <w:lang w:val="en-US" w:eastAsia="zh-CN" w:bidi="ar-SA"/>
        </w:rPr>
        <w:t>⑥</w:t>
      </w:r>
      <w:r>
        <w:rPr>
          <w:rFonts w:hint="eastAsia" w:ascii="宋体" w:hAnsi="宋体" w:cs="宋体"/>
          <w:kern w:val="0"/>
          <w:sz w:val="24"/>
        </w:rPr>
        <w:t xml:space="preserve">项情形之一的， </w:t>
      </w:r>
      <w:r>
        <w:rPr>
          <w:rFonts w:hint="eastAsia" w:ascii="宋体" w:hAnsi="宋体" w:cs="宋体"/>
          <w:kern w:val="0"/>
          <w:sz w:val="24"/>
          <w:lang w:eastAsia="zh-CN"/>
        </w:rPr>
        <w:t>接受</w:t>
      </w:r>
      <w:r>
        <w:rPr>
          <w:rFonts w:hint="eastAsia" w:ascii="宋体" w:hAnsi="宋体" w:cs="宋体"/>
          <w:kern w:val="0"/>
          <w:sz w:val="24"/>
        </w:rPr>
        <w:t>投标人投标。</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、本项目不接受联合体投标。</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、评</w:t>
      </w:r>
      <w:r>
        <w:rPr>
          <w:rFonts w:hint="eastAsia" w:ascii="宋体" w:hAnsi="宋体" w:cs="宋体"/>
          <w:color w:val="auto"/>
          <w:kern w:val="0"/>
          <w:sz w:val="24"/>
        </w:rPr>
        <w:t>标办法：随机抽取法。</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二、</w:t>
      </w:r>
      <w:r>
        <w:rPr>
          <w:rFonts w:hint="eastAsia" w:ascii="宋体" w:hAnsi="宋体" w:cs="宋体"/>
          <w:kern w:val="0"/>
          <w:sz w:val="24"/>
          <w:lang w:eastAsia="zh-CN"/>
        </w:rPr>
        <w:t>招标</w:t>
      </w:r>
      <w:r>
        <w:rPr>
          <w:rFonts w:hint="eastAsia" w:ascii="宋体" w:hAnsi="宋体" w:cs="宋体"/>
          <w:kern w:val="0"/>
          <w:sz w:val="24"/>
        </w:rPr>
        <w:t>文件获取时间：</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获取时间：公告发布时间至报名截止时间</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获取地点：滁州市机电工程学校网站（http://www.cztc.edu.cn/）获取</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获取方式：网上下载</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三、递交投标文件的截止时间：</w:t>
      </w:r>
      <w:r>
        <w:rPr>
          <w:rFonts w:hint="eastAsia" w:ascii="宋体" w:hAnsi="宋体" w:cs="宋体"/>
          <w:color w:val="auto"/>
          <w:kern w:val="0"/>
          <w:sz w:val="24"/>
          <w:u w:val="single"/>
        </w:rPr>
        <w:t>2024年0</w:t>
      </w:r>
      <w:r>
        <w:rPr>
          <w:rFonts w:hint="eastAsia" w:ascii="宋体" w:hAnsi="宋体" w:cs="宋体"/>
          <w:color w:val="auto"/>
          <w:kern w:val="0"/>
          <w:sz w:val="24"/>
          <w:u w:val="single"/>
          <w:lang w:val="en-US" w:eastAsia="zh-CN"/>
        </w:rPr>
        <w:t>4</w:t>
      </w:r>
      <w:r>
        <w:rPr>
          <w:rFonts w:hint="eastAsia" w:ascii="宋体" w:hAnsi="宋体" w:cs="宋体"/>
          <w:color w:val="auto"/>
          <w:kern w:val="0"/>
          <w:sz w:val="24"/>
          <w:u w:val="single"/>
        </w:rPr>
        <w:t>月</w:t>
      </w:r>
      <w:r>
        <w:rPr>
          <w:rFonts w:hint="eastAsia" w:ascii="宋体" w:hAnsi="宋体" w:cs="宋体"/>
          <w:color w:val="auto"/>
          <w:kern w:val="0"/>
          <w:sz w:val="24"/>
          <w:u w:val="single"/>
          <w:lang w:val="en-US" w:eastAsia="zh-CN"/>
        </w:rPr>
        <w:t xml:space="preserve"> 02 </w:t>
      </w:r>
      <w:r>
        <w:rPr>
          <w:rFonts w:hint="eastAsia" w:ascii="宋体" w:hAnsi="宋体" w:cs="宋体"/>
          <w:color w:val="auto"/>
          <w:kern w:val="0"/>
          <w:sz w:val="24"/>
          <w:u w:val="single"/>
        </w:rPr>
        <w:t>日</w:t>
      </w:r>
      <w:r>
        <w:rPr>
          <w:rFonts w:hint="eastAsia" w:ascii="宋体" w:hAnsi="宋体" w:cs="宋体"/>
          <w:color w:val="auto"/>
          <w:kern w:val="0"/>
          <w:sz w:val="24"/>
          <w:u w:val="single"/>
          <w:lang w:val="en-US" w:eastAsia="zh-CN"/>
        </w:rPr>
        <w:t>15</w:t>
      </w:r>
      <w:r>
        <w:rPr>
          <w:rFonts w:hint="eastAsia" w:ascii="宋体" w:hAnsi="宋体" w:cs="宋体"/>
          <w:color w:val="auto"/>
          <w:kern w:val="0"/>
          <w:sz w:val="24"/>
          <w:u w:val="single"/>
        </w:rPr>
        <w:t>时00 分</w:t>
      </w:r>
      <w:r>
        <w:rPr>
          <w:rFonts w:hint="eastAsia" w:ascii="宋体" w:hAnsi="宋体" w:cs="宋体"/>
          <w:kern w:val="0"/>
          <w:sz w:val="24"/>
        </w:rPr>
        <w:t>（请潜在投标人在此时间内送达，超出时间送达的投标书将不予接受。）</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四、开标时间：同递交投标文件的截止时间。</w:t>
      </w:r>
    </w:p>
    <w:p>
      <w:pPr>
        <w:widowControl/>
        <w:spacing w:line="500" w:lineRule="exact"/>
        <w:ind w:left="-420" w:leftChars="-200" w:right="-359" w:rightChars="-171" w:firstLine="480" w:firstLineChars="200"/>
        <w:jc w:val="left"/>
        <w:rPr>
          <w:rFonts w:ascii="宋体" w:hAnsi="宋体" w:cs="宋体"/>
          <w:color w:val="auto"/>
          <w:kern w:val="0"/>
          <w:sz w:val="24"/>
        </w:rPr>
      </w:pPr>
      <w:r>
        <w:rPr>
          <w:rFonts w:hint="eastAsia" w:ascii="宋体" w:hAnsi="宋体" w:cs="宋体"/>
          <w:kern w:val="0"/>
          <w:sz w:val="24"/>
        </w:rPr>
        <w:t>五、开标地点：</w:t>
      </w:r>
      <w:r>
        <w:rPr>
          <w:rFonts w:hint="eastAsia" w:ascii="宋体" w:hAnsi="宋体" w:cs="宋体"/>
          <w:color w:val="auto"/>
          <w:kern w:val="0"/>
          <w:sz w:val="24"/>
        </w:rPr>
        <w:t>滁州市机电工程学校综合楼206信息技术中心</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六、公告发布媒介：滁州市机电工程学校网站（http://www.cztc.edu.cn/）</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七、本项目招标联系方式</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招标人名称：滁州市机电工程学校</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地址：滁州市丰乐大道2238号</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联系人：朱老师</w:t>
      </w:r>
    </w:p>
    <w:p>
      <w:pPr>
        <w:widowControl/>
        <w:spacing w:line="500" w:lineRule="exact"/>
        <w:ind w:left="-420" w:leftChars="-200" w:right="-359" w:rightChars="-171" w:firstLine="480" w:firstLineChars="200"/>
        <w:jc w:val="left"/>
        <w:rPr>
          <w:rFonts w:ascii="宋体" w:hAnsi="宋体" w:cs="宋体"/>
          <w:kern w:val="0"/>
          <w:sz w:val="24"/>
        </w:rPr>
      </w:pPr>
      <w:r>
        <w:rPr>
          <w:rFonts w:hint="eastAsia" w:ascii="宋体" w:hAnsi="宋体" w:cs="宋体"/>
          <w:kern w:val="0"/>
          <w:sz w:val="24"/>
        </w:rPr>
        <w:t>联系方式：18900505600</w:t>
      </w:r>
    </w:p>
    <w:p>
      <w:pPr>
        <w:widowControl/>
        <w:spacing w:line="500" w:lineRule="exact"/>
        <w:ind w:left="-420" w:leftChars="-200" w:right="-359" w:rightChars="-171" w:firstLine="480" w:firstLineChars="200"/>
        <w:jc w:val="left"/>
        <w:rPr>
          <w:rFonts w:hint="eastAsia" w:ascii="宋体" w:hAnsi="宋体" w:eastAsia="宋体" w:cs="宋体"/>
          <w:kern w:val="0"/>
          <w:sz w:val="24"/>
          <w:lang w:eastAsia="zh-CN"/>
        </w:rPr>
      </w:pPr>
      <w:r>
        <w:rPr>
          <w:rFonts w:hint="eastAsia" w:ascii="宋体" w:hAnsi="宋体" w:cs="宋体"/>
          <w:kern w:val="0"/>
          <w:sz w:val="24"/>
        </w:rPr>
        <w:t>招标代理机构名称：</w:t>
      </w:r>
      <w:r>
        <w:rPr>
          <w:rFonts w:hint="eastAsia" w:ascii="宋体" w:hAnsi="宋体" w:cs="宋体"/>
          <w:kern w:val="0"/>
          <w:sz w:val="24"/>
          <w:lang w:eastAsia="zh-CN"/>
        </w:rPr>
        <w:t>容诚工程咨询有限公司</w:t>
      </w:r>
    </w:p>
    <w:p>
      <w:pPr>
        <w:widowControl/>
        <w:spacing w:line="500" w:lineRule="exact"/>
        <w:ind w:left="-420" w:leftChars="-200" w:right="-359" w:rightChars="-171" w:firstLine="480" w:firstLineChars="200"/>
        <w:jc w:val="left"/>
        <w:rPr>
          <w:rFonts w:hint="eastAsia" w:ascii="宋体" w:hAnsi="宋体" w:eastAsia="宋体" w:cs="宋体"/>
          <w:kern w:val="0"/>
          <w:sz w:val="24"/>
          <w:lang w:eastAsia="zh-CN"/>
        </w:rPr>
      </w:pPr>
      <w:r>
        <w:rPr>
          <w:rFonts w:hint="eastAsia" w:ascii="宋体" w:hAnsi="宋体" w:cs="宋体"/>
          <w:kern w:val="0"/>
          <w:sz w:val="24"/>
        </w:rPr>
        <w:t>地址：</w:t>
      </w:r>
      <w:r>
        <w:rPr>
          <w:rFonts w:hint="eastAsia" w:ascii="宋体" w:hAnsi="宋体" w:cs="宋体"/>
          <w:kern w:val="0"/>
          <w:sz w:val="24"/>
          <w:lang w:eastAsia="zh-CN"/>
        </w:rPr>
        <w:t>滁州市南谯区敬梓西路669号港汇中心Ｂ座12楼</w:t>
      </w:r>
    </w:p>
    <w:p>
      <w:pPr>
        <w:widowControl/>
        <w:spacing w:line="500" w:lineRule="exact"/>
        <w:ind w:left="-420" w:leftChars="-200" w:right="-359" w:rightChars="-171" w:firstLine="480" w:firstLineChars="200"/>
        <w:jc w:val="left"/>
        <w:rPr>
          <w:rFonts w:hint="eastAsia" w:ascii="宋体" w:hAnsi="宋体" w:eastAsia="宋体" w:cs="宋体"/>
          <w:kern w:val="0"/>
          <w:sz w:val="24"/>
          <w:lang w:eastAsia="zh-CN"/>
        </w:rPr>
      </w:pPr>
      <w:r>
        <w:rPr>
          <w:rFonts w:hint="eastAsia" w:ascii="宋体" w:hAnsi="宋体" w:cs="宋体"/>
          <w:kern w:val="0"/>
          <w:sz w:val="24"/>
        </w:rPr>
        <w:t>联系人：</w:t>
      </w:r>
      <w:r>
        <w:rPr>
          <w:rFonts w:hint="eastAsia" w:ascii="宋体" w:hAnsi="宋体" w:cs="宋体"/>
          <w:kern w:val="0"/>
          <w:sz w:val="24"/>
          <w:lang w:eastAsia="zh-CN"/>
        </w:rPr>
        <w:t>雷宇</w:t>
      </w:r>
    </w:p>
    <w:p>
      <w:pPr>
        <w:widowControl/>
        <w:spacing w:line="500" w:lineRule="exact"/>
        <w:ind w:left="-420" w:leftChars="-200" w:right="-359" w:rightChars="-171" w:firstLine="480" w:firstLineChars="200"/>
        <w:jc w:val="left"/>
        <w:rPr>
          <w:rFonts w:hint="eastAsia" w:ascii="宋体" w:hAnsi="宋体" w:eastAsia="宋体" w:cs="宋体"/>
          <w:kern w:val="0"/>
          <w:sz w:val="24"/>
          <w:lang w:eastAsia="zh-CN"/>
        </w:rPr>
      </w:pPr>
      <w:r>
        <w:rPr>
          <w:rFonts w:hint="eastAsia" w:ascii="宋体" w:hAnsi="宋体" w:cs="宋体"/>
          <w:kern w:val="0"/>
          <w:sz w:val="24"/>
        </w:rPr>
        <w:t>联系方式：</w:t>
      </w:r>
      <w:r>
        <w:rPr>
          <w:rFonts w:hint="eastAsia" w:ascii="宋体" w:hAnsi="宋体" w:cs="宋体"/>
          <w:kern w:val="0"/>
          <w:sz w:val="24"/>
          <w:lang w:eastAsia="zh-CN"/>
        </w:rPr>
        <w:t>13615502012</w:t>
      </w:r>
    </w:p>
    <w:p>
      <w:pPr>
        <w:pStyle w:val="6"/>
        <w:spacing w:line="440" w:lineRule="exact"/>
        <w:ind w:firstLine="2530" w:firstLineChars="700"/>
        <w:rPr>
          <w:rFonts w:ascii="宋体" w:hAnsi="宋体" w:cs="宋体"/>
          <w:color w:val="000000"/>
        </w:rPr>
      </w:pPr>
      <w:r>
        <w:rPr>
          <w:rFonts w:hint="eastAsia" w:ascii="宋体" w:hAnsi="宋体"/>
          <w:kern w:val="0"/>
          <w:sz w:val="36"/>
          <w:szCs w:val="36"/>
        </w:rPr>
        <w:t xml:space="preserve">第二章 </w:t>
      </w:r>
      <w:r>
        <w:rPr>
          <w:rFonts w:hint="eastAsia" w:ascii="宋体" w:hAnsi="宋体" w:cs="宋体"/>
          <w:color w:val="000000"/>
        </w:rPr>
        <w:t xml:space="preserve"> 投标人须知</w:t>
      </w:r>
    </w:p>
    <w:p>
      <w:pPr>
        <w:pStyle w:val="7"/>
        <w:spacing w:line="440" w:lineRule="exact"/>
        <w:jc w:val="center"/>
        <w:rPr>
          <w:rFonts w:ascii="宋体" w:hAnsi="宋体" w:cs="宋体"/>
          <w:color w:val="000000"/>
        </w:rPr>
      </w:pPr>
      <w:bookmarkStart w:id="11" w:name="_Toc522795032"/>
      <w:bookmarkStart w:id="12" w:name="_Toc246996174"/>
      <w:bookmarkStart w:id="13" w:name="_Toc23696986"/>
      <w:bookmarkStart w:id="14" w:name="_Toc152042304"/>
      <w:bookmarkStart w:id="15" w:name="_Toc152045528"/>
      <w:bookmarkStart w:id="16" w:name="_Toc22762782"/>
      <w:bookmarkStart w:id="17" w:name="_Toc144974496"/>
      <w:bookmarkStart w:id="18" w:name="_Toc179632545"/>
      <w:bookmarkStart w:id="19" w:name="_Toc296602419"/>
      <w:bookmarkStart w:id="20" w:name="_Toc246996917"/>
      <w:bookmarkStart w:id="21" w:name="_Toc247085688"/>
      <w:r>
        <w:rPr>
          <w:rFonts w:hint="eastAsia" w:ascii="宋体" w:hAnsi="宋体" w:cs="宋体"/>
          <w:color w:val="000000"/>
        </w:rPr>
        <w:t>投标人须知前附表</w:t>
      </w:r>
      <w:bookmarkEnd w:id="11"/>
      <w:bookmarkEnd w:id="12"/>
      <w:bookmarkEnd w:id="13"/>
      <w:bookmarkEnd w:id="14"/>
      <w:bookmarkEnd w:id="15"/>
      <w:bookmarkEnd w:id="16"/>
      <w:bookmarkEnd w:id="17"/>
      <w:bookmarkEnd w:id="18"/>
      <w:bookmarkEnd w:id="19"/>
      <w:bookmarkEnd w:id="20"/>
      <w:bookmarkEnd w:id="21"/>
    </w:p>
    <w:tbl>
      <w:tblPr>
        <w:tblStyle w:val="28"/>
        <w:tblW w:w="9982" w:type="dxa"/>
        <w:jc w:val="center"/>
        <w:tblLayout w:type="fixed"/>
        <w:tblCellMar>
          <w:top w:w="0" w:type="dxa"/>
          <w:left w:w="108" w:type="dxa"/>
          <w:bottom w:w="0" w:type="dxa"/>
          <w:right w:w="108" w:type="dxa"/>
        </w:tblCellMar>
      </w:tblPr>
      <w:tblGrid>
        <w:gridCol w:w="767"/>
        <w:gridCol w:w="1815"/>
        <w:gridCol w:w="7400"/>
      </w:tblGrid>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hint="eastAsia" w:ascii="宋体" w:hAnsi="宋体" w:cs="宋体"/>
                <w:b/>
                <w:color w:val="000000"/>
                <w:szCs w:val="21"/>
              </w:rPr>
              <w:t>序号</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hint="eastAsia" w:ascii="宋体" w:hAnsi="宋体" w:cs="宋体"/>
                <w:b/>
                <w:color w:val="000000"/>
                <w:szCs w:val="21"/>
              </w:rPr>
              <w:t>条  款  名  称</w:t>
            </w:r>
          </w:p>
        </w:tc>
        <w:tc>
          <w:tcPr>
            <w:tcW w:w="7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hint="eastAsia" w:ascii="宋体" w:hAnsi="宋体" w:cs="宋体"/>
                <w:b/>
                <w:color w:val="000000"/>
                <w:szCs w:val="21"/>
              </w:rPr>
              <w:t>编  列  内  容</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招标人</w:t>
            </w:r>
          </w:p>
        </w:tc>
        <w:tc>
          <w:tcPr>
            <w:tcW w:w="74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名称：滁州市机电工程学校</w:t>
            </w:r>
          </w:p>
          <w:p>
            <w:pPr>
              <w:rPr>
                <w:rFonts w:ascii="宋体" w:hAnsi="宋体" w:cs="宋体"/>
                <w:color w:val="000000"/>
                <w:szCs w:val="21"/>
              </w:rPr>
            </w:pPr>
            <w:r>
              <w:rPr>
                <w:rFonts w:hint="eastAsia" w:ascii="宋体" w:hAnsi="宋体" w:cs="宋体"/>
                <w:color w:val="000000"/>
                <w:szCs w:val="21"/>
              </w:rPr>
              <w:t xml:space="preserve">联系人：朱老师          </w:t>
            </w:r>
          </w:p>
          <w:p>
            <w:pPr>
              <w:rPr>
                <w:rFonts w:ascii="宋体" w:hAnsi="宋体" w:cs="宋体"/>
                <w:color w:val="000000"/>
                <w:szCs w:val="21"/>
              </w:rPr>
            </w:pPr>
            <w:r>
              <w:rPr>
                <w:rFonts w:hint="eastAsia" w:ascii="宋体" w:hAnsi="宋体" w:cs="宋体"/>
                <w:color w:val="000000"/>
                <w:szCs w:val="21"/>
              </w:rPr>
              <w:t xml:space="preserve">联系方式：18900505600 </w:t>
            </w:r>
          </w:p>
        </w:tc>
      </w:tr>
      <w:tr>
        <w:tblPrEx>
          <w:tblCellMar>
            <w:top w:w="0" w:type="dxa"/>
            <w:left w:w="108" w:type="dxa"/>
            <w:bottom w:w="0" w:type="dxa"/>
            <w:right w:w="108" w:type="dxa"/>
          </w:tblCellMar>
        </w:tblPrEx>
        <w:trPr>
          <w:trHeight w:val="9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招标代理机构</w:t>
            </w:r>
          </w:p>
        </w:tc>
        <w:tc>
          <w:tcPr>
            <w:tcW w:w="74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lang w:eastAsia="zh-CN"/>
              </w:rPr>
            </w:pPr>
            <w:r>
              <w:rPr>
                <w:rFonts w:hint="eastAsia" w:ascii="宋体" w:hAnsi="宋体" w:cs="宋体"/>
                <w:color w:val="000000"/>
                <w:szCs w:val="21"/>
              </w:rPr>
              <w:t>名称：</w:t>
            </w:r>
            <w:r>
              <w:rPr>
                <w:rFonts w:hint="eastAsia" w:ascii="宋体" w:hAnsi="宋体" w:cs="宋体"/>
                <w:color w:val="000000"/>
                <w:szCs w:val="21"/>
                <w:lang w:eastAsia="zh-CN"/>
              </w:rPr>
              <w:t>容诚工程咨询有限公司</w:t>
            </w:r>
          </w:p>
          <w:p>
            <w:pPr>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lang w:eastAsia="zh-CN"/>
              </w:rPr>
              <w:t>滁州市南谯区敬梓西路669号港汇中心Ｂ座12楼</w:t>
            </w:r>
            <w:r>
              <w:rPr>
                <w:rFonts w:hint="eastAsia" w:ascii="宋体" w:hAnsi="宋体" w:cs="宋体"/>
                <w:color w:val="000000"/>
                <w:szCs w:val="21"/>
              </w:rPr>
              <w:t xml:space="preserve">  </w:t>
            </w:r>
          </w:p>
          <w:p>
            <w:pPr>
              <w:rPr>
                <w:rFonts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eastAsia="zh-CN"/>
              </w:rPr>
              <w:t>雷宇</w:t>
            </w:r>
            <w:r>
              <w:rPr>
                <w:rFonts w:hint="eastAsia" w:ascii="宋体" w:hAnsi="宋体" w:cs="宋体"/>
                <w:color w:val="000000"/>
                <w:szCs w:val="21"/>
              </w:rPr>
              <w:t xml:space="preserve"> </w:t>
            </w:r>
          </w:p>
          <w:p>
            <w:pPr>
              <w:rPr>
                <w:rFonts w:hint="eastAsia" w:ascii="宋体" w:hAnsi="宋体" w:eastAsia="宋体" w:cs="宋体"/>
                <w:color w:val="000000"/>
                <w:szCs w:val="21"/>
                <w:lang w:eastAsia="zh-CN"/>
              </w:rPr>
            </w:pPr>
            <w:r>
              <w:rPr>
                <w:rFonts w:hint="eastAsia" w:ascii="宋体" w:hAnsi="宋体" w:cs="宋体"/>
                <w:color w:val="000000"/>
                <w:szCs w:val="21"/>
              </w:rPr>
              <w:t>联系方式：</w:t>
            </w:r>
            <w:r>
              <w:rPr>
                <w:rFonts w:hint="eastAsia" w:ascii="宋体" w:hAnsi="宋体"/>
                <w:szCs w:val="21"/>
                <w:lang w:eastAsia="zh-CN"/>
              </w:rPr>
              <w:t>13615502012</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74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color w:val="000000"/>
                <w:szCs w:val="21"/>
                <w:lang w:eastAsia="zh-CN"/>
              </w:rPr>
            </w:pPr>
            <w:r>
              <w:rPr>
                <w:rFonts w:hint="eastAsia" w:ascii="宋体" w:hAnsi="宋体" w:cs="宋体"/>
                <w:color w:val="000000"/>
                <w:szCs w:val="21"/>
                <w:lang w:eastAsia="zh-CN"/>
              </w:rPr>
              <w:t>安徽滁州技师学院新校区信息化建设跟踪(结算)审计服务采购项目</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建设地点</w:t>
            </w:r>
          </w:p>
        </w:tc>
        <w:tc>
          <w:tcPr>
            <w:tcW w:w="7400" w:type="dxa"/>
            <w:tcBorders>
              <w:top w:val="single" w:color="auto" w:sz="4" w:space="0"/>
              <w:left w:val="single" w:color="auto" w:sz="4" w:space="0"/>
              <w:bottom w:val="single" w:color="auto" w:sz="4" w:space="0"/>
              <w:right w:val="single" w:color="auto" w:sz="4" w:space="0"/>
            </w:tcBorders>
            <w:vAlign w:val="center"/>
          </w:tcPr>
          <w:p>
            <w:pPr>
              <w:pStyle w:val="24"/>
              <w:jc w:val="both"/>
              <w:rPr>
                <w:color w:val="000000"/>
                <w:sz w:val="21"/>
                <w:szCs w:val="21"/>
              </w:rPr>
            </w:pPr>
            <w:r>
              <w:rPr>
                <w:rFonts w:hint="eastAsia"/>
                <w:color w:val="000000"/>
                <w:sz w:val="21"/>
                <w:szCs w:val="21"/>
              </w:rPr>
              <w:t>滁州市境内</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资金来源</w:t>
            </w:r>
          </w:p>
        </w:tc>
        <w:tc>
          <w:tcPr>
            <w:tcW w:w="74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lang w:val="en-US" w:eastAsia="zh-CN"/>
              </w:rPr>
            </w:pPr>
            <w:r>
              <w:rPr>
                <w:rFonts w:hint="eastAsia" w:ascii="宋体" w:hAnsi="宋体" w:cs="宋体"/>
                <w:color w:val="000000"/>
                <w:szCs w:val="21"/>
              </w:rPr>
              <w:t>财政</w:t>
            </w:r>
            <w:r>
              <w:rPr>
                <w:rFonts w:hint="eastAsia" w:ascii="宋体" w:hAnsi="宋体" w:cs="宋体"/>
                <w:color w:val="000000"/>
                <w:szCs w:val="21"/>
                <w:lang w:val="en-US" w:eastAsia="zh-CN"/>
              </w:rPr>
              <w:t>资金</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招标范围</w:t>
            </w:r>
          </w:p>
        </w:tc>
        <w:tc>
          <w:tcPr>
            <w:tcW w:w="74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bCs/>
                <w:color w:val="auto"/>
                <w:kern w:val="0"/>
                <w:szCs w:val="21"/>
              </w:rPr>
              <w:t>安徽滁州技师学院新校区信息化建设项目</w:t>
            </w:r>
            <w:r>
              <w:rPr>
                <w:rFonts w:hint="eastAsia" w:ascii="宋体" w:hAnsi="宋体" w:cs="宋体"/>
                <w:color w:val="auto"/>
                <w:kern w:val="0"/>
                <w:sz w:val="21"/>
                <w:szCs w:val="21"/>
                <w:lang w:val="en-US" w:eastAsia="zh-CN"/>
              </w:rPr>
              <w:t>跟踪（结算）审计</w:t>
            </w:r>
            <w:r>
              <w:rPr>
                <w:rFonts w:hint="eastAsia" w:ascii="宋体" w:hAnsi="宋体" w:cs="宋体"/>
                <w:color w:val="auto"/>
                <w:kern w:val="0"/>
                <w:sz w:val="21"/>
                <w:szCs w:val="21"/>
              </w:rPr>
              <w:t>服务</w:t>
            </w:r>
            <w:r>
              <w:rPr>
                <w:rFonts w:hint="eastAsia" w:ascii="宋体" w:hAnsi="宋体" w:cs="宋体"/>
                <w:bCs/>
                <w:color w:val="auto"/>
                <w:kern w:val="0"/>
                <w:szCs w:val="21"/>
              </w:rPr>
              <w:t>。</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评标办法</w:t>
            </w:r>
          </w:p>
        </w:tc>
        <w:tc>
          <w:tcPr>
            <w:tcW w:w="7400" w:type="dxa"/>
            <w:tcBorders>
              <w:top w:val="single" w:color="auto" w:sz="4" w:space="0"/>
              <w:left w:val="single" w:color="auto" w:sz="4" w:space="0"/>
              <w:bottom w:val="single" w:color="auto" w:sz="4" w:space="0"/>
              <w:right w:val="single" w:color="auto" w:sz="4" w:space="0"/>
            </w:tcBorders>
            <w:vAlign w:val="center"/>
          </w:tcPr>
          <w:p>
            <w:pPr>
              <w:pStyle w:val="58"/>
              <w:rPr>
                <w:color w:val="auto"/>
              </w:rPr>
            </w:pPr>
            <w:r>
              <w:rPr>
                <w:rFonts w:hint="eastAsia"/>
                <w:color w:val="auto"/>
              </w:rPr>
              <w:t>随机抽取法</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kern w:val="0"/>
                <w:szCs w:val="21"/>
              </w:rPr>
              <w:t>服务期</w:t>
            </w:r>
          </w:p>
        </w:tc>
        <w:tc>
          <w:tcPr>
            <w:tcW w:w="74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Times New Roman" w:hAnsi="Times New Roman" w:eastAsia="宋体" w:cs="Times New Roman"/>
                <w:color w:val="auto"/>
                <w:kern w:val="0"/>
                <w:sz w:val="21"/>
                <w:szCs w:val="21"/>
                <w:lang w:val="en-US" w:eastAsia="zh-CN" w:bidi="ar-SA"/>
              </w:rPr>
              <w:t>同施工工期（合同签订之日起至项目竣工验收）；</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质量要求</w:t>
            </w:r>
          </w:p>
        </w:tc>
        <w:tc>
          <w:tcPr>
            <w:tcW w:w="74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符合相关</w:t>
            </w:r>
            <w:r>
              <w:rPr>
                <w:rFonts w:hint="eastAsia" w:ascii="宋体" w:hAnsi="宋体" w:cs="宋体"/>
                <w:color w:val="auto"/>
                <w:szCs w:val="21"/>
                <w:lang w:val="en-US" w:eastAsia="zh-CN"/>
              </w:rPr>
              <w:t>质量</w:t>
            </w:r>
            <w:r>
              <w:rPr>
                <w:rFonts w:hint="eastAsia" w:ascii="宋体" w:hAnsi="宋体" w:cs="宋体"/>
                <w:color w:val="auto"/>
                <w:szCs w:val="21"/>
              </w:rPr>
              <w:t>要求</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投标人资质条件、能力和信誉</w:t>
            </w:r>
          </w:p>
        </w:tc>
        <w:tc>
          <w:tcPr>
            <w:tcW w:w="74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pacing w:val="-6"/>
                <w:kern w:val="0"/>
                <w:szCs w:val="21"/>
              </w:rPr>
              <w:t>详见第一章招标公告</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踏勘现场</w:t>
            </w:r>
          </w:p>
        </w:tc>
        <w:tc>
          <w:tcPr>
            <w:tcW w:w="7400" w:type="dxa"/>
            <w:tcBorders>
              <w:top w:val="single" w:color="auto" w:sz="4" w:space="0"/>
              <w:left w:val="single" w:color="auto" w:sz="4" w:space="0"/>
              <w:bottom w:val="single" w:color="auto" w:sz="4" w:space="0"/>
              <w:right w:val="single" w:color="auto" w:sz="4" w:space="0"/>
            </w:tcBorders>
            <w:vAlign w:val="center"/>
          </w:tcPr>
          <w:p>
            <w:pPr>
              <w:pStyle w:val="12"/>
              <w:topLinePunct/>
              <w:rPr>
                <w:rFonts w:hAnsi="宋体" w:cs="宋体"/>
                <w:color w:val="000000"/>
                <w:kern w:val="0"/>
                <w:sz w:val="21"/>
                <w:szCs w:val="21"/>
              </w:rPr>
            </w:pPr>
            <w:r>
              <w:rPr>
                <w:rFonts w:hint="eastAsia" w:hAnsi="宋体" w:cs="宋体"/>
                <w:color w:val="000000"/>
                <w:kern w:val="0"/>
                <w:sz w:val="21"/>
                <w:szCs w:val="21"/>
              </w:rPr>
              <w:t>不组织，投标人自行组织踏勘现场</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投标预备会</w:t>
            </w:r>
          </w:p>
        </w:tc>
        <w:tc>
          <w:tcPr>
            <w:tcW w:w="7400" w:type="dxa"/>
            <w:tcBorders>
              <w:top w:val="single" w:color="auto" w:sz="4" w:space="0"/>
              <w:left w:val="single" w:color="auto" w:sz="4" w:space="0"/>
              <w:bottom w:val="single" w:color="auto" w:sz="4" w:space="0"/>
              <w:right w:val="single" w:color="auto" w:sz="4" w:space="0"/>
            </w:tcBorders>
            <w:vAlign w:val="center"/>
          </w:tcPr>
          <w:p>
            <w:pPr>
              <w:pStyle w:val="12"/>
              <w:topLinePunct/>
              <w:rPr>
                <w:rFonts w:hAnsi="宋体" w:cs="宋体"/>
                <w:kern w:val="0"/>
                <w:sz w:val="21"/>
                <w:szCs w:val="21"/>
              </w:rPr>
            </w:pPr>
            <w:r>
              <w:rPr>
                <w:rFonts w:hint="eastAsia" w:hAnsi="宋体" w:cs="宋体"/>
                <w:spacing w:val="-4"/>
                <w:kern w:val="0"/>
                <w:sz w:val="21"/>
                <w:szCs w:val="21"/>
              </w:rPr>
              <w:t>不召开</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13</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投标人提出问题的截止时间及方式</w:t>
            </w:r>
          </w:p>
        </w:tc>
        <w:tc>
          <w:tcPr>
            <w:tcW w:w="7400"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cs="宋体"/>
                <w:szCs w:val="21"/>
                <w:u w:val="none"/>
              </w:rPr>
            </w:pPr>
            <w:r>
              <w:rPr>
                <w:rFonts w:hint="eastAsia"/>
                <w:szCs w:val="21"/>
                <w:u w:val="none"/>
              </w:rPr>
              <w:t xml:space="preserve">如投标人对招标文件有疑问，请于 </w:t>
            </w:r>
            <w:r>
              <w:rPr>
                <w:szCs w:val="21"/>
                <w:u w:val="none"/>
              </w:rPr>
              <w:t>202</w:t>
            </w:r>
            <w:r>
              <w:rPr>
                <w:rFonts w:hint="eastAsia"/>
                <w:szCs w:val="21"/>
                <w:u w:val="none"/>
                <w:lang w:val="en-US" w:eastAsia="zh-CN"/>
              </w:rPr>
              <w:t>4</w:t>
            </w:r>
            <w:r>
              <w:rPr>
                <w:rFonts w:hint="eastAsia"/>
                <w:szCs w:val="21"/>
                <w:u w:val="none"/>
              </w:rPr>
              <w:t>年</w:t>
            </w:r>
            <w:r>
              <w:rPr>
                <w:rFonts w:hint="eastAsia"/>
                <w:szCs w:val="21"/>
                <w:u w:val="none"/>
                <w:lang w:val="en-US" w:eastAsia="zh-CN"/>
              </w:rPr>
              <w:t>03</w:t>
            </w:r>
            <w:r>
              <w:rPr>
                <w:rFonts w:hint="eastAsia"/>
                <w:szCs w:val="21"/>
                <w:u w:val="none"/>
              </w:rPr>
              <w:t>月</w:t>
            </w:r>
            <w:r>
              <w:rPr>
                <w:rFonts w:hint="eastAsia"/>
                <w:szCs w:val="21"/>
                <w:u w:val="none"/>
                <w:lang w:val="en-US" w:eastAsia="zh-CN"/>
              </w:rPr>
              <w:t xml:space="preserve"> 28</w:t>
            </w:r>
            <w:r>
              <w:rPr>
                <w:rFonts w:hint="eastAsia"/>
                <w:szCs w:val="21"/>
                <w:u w:val="none"/>
              </w:rPr>
              <w:t>日1</w:t>
            </w:r>
            <w:r>
              <w:rPr>
                <w:rFonts w:hint="eastAsia"/>
                <w:szCs w:val="21"/>
                <w:u w:val="none"/>
                <w:lang w:val="en-US" w:eastAsia="zh-CN"/>
              </w:rPr>
              <w:t>7</w:t>
            </w:r>
            <w:r>
              <w:rPr>
                <w:rFonts w:hint="eastAsia"/>
                <w:szCs w:val="21"/>
                <w:u w:val="none"/>
              </w:rPr>
              <w:t>时前</w:t>
            </w:r>
            <w:r>
              <w:rPr>
                <w:rFonts w:hint="eastAsia"/>
                <w:u w:val="none"/>
              </w:rPr>
              <w:t>将所遇到的问题以电子邮件形式传至</w:t>
            </w:r>
            <w:r>
              <w:rPr>
                <w:rFonts w:hint="eastAsia" w:ascii="宋体" w:hAnsi="宋体"/>
                <w:szCs w:val="21"/>
                <w:u w:val="none"/>
                <w:lang w:eastAsia="zh-CN"/>
              </w:rPr>
              <w:t>176594995</w:t>
            </w:r>
            <w:r>
              <w:rPr>
                <w:rFonts w:hint="eastAsia" w:ascii="宋体" w:hAnsi="宋体"/>
                <w:szCs w:val="21"/>
                <w:u w:val="none"/>
              </w:rPr>
              <w:t>@qq.com</w:t>
            </w:r>
            <w:r>
              <w:rPr>
                <w:rFonts w:hint="eastAsia"/>
                <w:u w:val="none"/>
              </w:rPr>
              <w:t xml:space="preserve">( </w:t>
            </w:r>
            <w:r>
              <w:rPr>
                <w:rFonts w:hint="eastAsia"/>
                <w:u w:val="none"/>
                <w:lang w:eastAsia="zh-CN"/>
              </w:rPr>
              <w:t>容诚工程咨询有限公司</w:t>
            </w:r>
            <w:r>
              <w:rPr>
                <w:rFonts w:hint="eastAsia"/>
                <w:u w:val="none"/>
              </w:rPr>
              <w:t>电子邮箱)。</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招标人澄清的时间及方式</w:t>
            </w:r>
          </w:p>
        </w:tc>
        <w:tc>
          <w:tcPr>
            <w:tcW w:w="74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u w:val="none"/>
              </w:rPr>
            </w:pPr>
            <w:r>
              <w:rPr>
                <w:rFonts w:hint="eastAsia"/>
                <w:u w:val="none"/>
              </w:rPr>
              <w:t>采购人将在202</w:t>
            </w:r>
            <w:r>
              <w:rPr>
                <w:rFonts w:hint="eastAsia"/>
                <w:u w:val="none"/>
                <w:lang w:val="en-US" w:eastAsia="zh-CN"/>
              </w:rPr>
              <w:t>4</w:t>
            </w:r>
            <w:r>
              <w:rPr>
                <w:rFonts w:hint="eastAsia"/>
                <w:u w:val="none"/>
              </w:rPr>
              <w:t>年</w:t>
            </w:r>
            <w:r>
              <w:rPr>
                <w:rFonts w:hint="eastAsia"/>
                <w:u w:val="none"/>
                <w:lang w:val="en-US" w:eastAsia="zh-CN"/>
              </w:rPr>
              <w:t>03</w:t>
            </w:r>
            <w:r>
              <w:rPr>
                <w:rFonts w:hint="eastAsia"/>
                <w:u w:val="none"/>
              </w:rPr>
              <w:t>月</w:t>
            </w:r>
            <w:r>
              <w:rPr>
                <w:rFonts w:hint="eastAsia"/>
                <w:u w:val="none"/>
                <w:lang w:val="en-US" w:eastAsia="zh-CN"/>
              </w:rPr>
              <w:t xml:space="preserve"> 29 </w:t>
            </w:r>
            <w:r>
              <w:rPr>
                <w:rFonts w:hint="eastAsia"/>
                <w:u w:val="none"/>
              </w:rPr>
              <w:t>日 17 时前，以澄清公告形式在</w:t>
            </w:r>
            <w:r>
              <w:rPr>
                <w:rFonts w:hint="eastAsia"/>
                <w:u w:val="none"/>
                <w:lang w:eastAsia="zh-CN"/>
              </w:rPr>
              <w:t>滁州市机电工程学校官网</w:t>
            </w:r>
            <w:r>
              <w:rPr>
                <w:rFonts w:hint="eastAsia"/>
                <w:u w:val="none"/>
              </w:rPr>
              <w:t>（http://www.cztc.edu.cn/）“招标采购”栏目予以公告，请各位投标人注意查看有关澄清内容，如不及时查看造成后果由投标人自负。</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偏离</w:t>
            </w:r>
          </w:p>
        </w:tc>
        <w:tc>
          <w:tcPr>
            <w:tcW w:w="7400" w:type="dxa"/>
            <w:tcBorders>
              <w:top w:val="single" w:color="auto" w:sz="4" w:space="0"/>
              <w:left w:val="single" w:color="auto" w:sz="4" w:space="0"/>
              <w:bottom w:val="single" w:color="auto" w:sz="4" w:space="0"/>
              <w:right w:val="single" w:color="auto" w:sz="4" w:space="0"/>
            </w:tcBorders>
            <w:vAlign w:val="center"/>
          </w:tcPr>
          <w:p>
            <w:pPr>
              <w:pStyle w:val="12"/>
              <w:topLinePunct/>
              <w:rPr>
                <w:rFonts w:hAnsi="宋体" w:cs="宋体"/>
                <w:sz w:val="21"/>
                <w:szCs w:val="21"/>
              </w:rPr>
            </w:pPr>
            <w:r>
              <w:rPr>
                <w:rFonts w:hint="eastAsia" w:hAnsi="宋体" w:cs="宋体"/>
                <w:sz w:val="21"/>
                <w:szCs w:val="21"/>
              </w:rPr>
              <w:t>不允许</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16</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构成招标文件的其他材料</w:t>
            </w:r>
          </w:p>
        </w:tc>
        <w:tc>
          <w:tcPr>
            <w:tcW w:w="74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本工程招标文件的澄清答疑、补充修改文件。</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17</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投标人要求澄清招标文件的截止时间及方式</w:t>
            </w:r>
          </w:p>
        </w:tc>
        <w:tc>
          <w:tcPr>
            <w:tcW w:w="74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同本表第13条</w:t>
            </w:r>
          </w:p>
        </w:tc>
      </w:tr>
      <w:tr>
        <w:tblPrEx>
          <w:tblCellMar>
            <w:top w:w="0" w:type="dxa"/>
            <w:left w:w="108" w:type="dxa"/>
            <w:bottom w:w="0" w:type="dxa"/>
            <w:right w:w="108" w:type="dxa"/>
          </w:tblCellMar>
        </w:tblPrEx>
        <w:trPr>
          <w:trHeight w:val="9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19</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投标有效期</w:t>
            </w:r>
          </w:p>
        </w:tc>
        <w:tc>
          <w:tcPr>
            <w:tcW w:w="74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szCs w:val="21"/>
              </w:rPr>
              <w:t>投标有效期为</w:t>
            </w:r>
            <w:r>
              <w:rPr>
                <w:rFonts w:hint="eastAsia" w:ascii="宋体" w:hAnsi="宋体" w:cs="宋体"/>
                <w:szCs w:val="21"/>
                <w:u w:val="single"/>
              </w:rPr>
              <w:t xml:space="preserve"> 60 </w:t>
            </w:r>
            <w:r>
              <w:rPr>
                <w:rFonts w:hint="eastAsia" w:ascii="宋体" w:hAnsi="宋体" w:cs="宋体"/>
                <w:szCs w:val="21"/>
              </w:rPr>
              <w:t>日历天（从投标截止之日算起）。在此期限内，凡符合本招标文件要求的投标文件均保持有效。</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20</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投标保证金</w:t>
            </w:r>
          </w:p>
        </w:tc>
        <w:tc>
          <w:tcPr>
            <w:tcW w:w="74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本项目不采用</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21</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签字或盖章要求</w:t>
            </w:r>
          </w:p>
        </w:tc>
        <w:tc>
          <w:tcPr>
            <w:tcW w:w="74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szCs w:val="21"/>
              </w:rPr>
            </w:pPr>
            <w:r>
              <w:rPr>
                <w:rFonts w:hint="eastAsia" w:ascii="宋体" w:hAnsi="宋体" w:cs="宋体"/>
                <w:szCs w:val="21"/>
              </w:rPr>
              <w:t>投标文件须按格式文件要求签字或盖章。否则经评委会一致认定后，按照无效投标处理。</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22</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投标文件份数</w:t>
            </w:r>
          </w:p>
        </w:tc>
        <w:tc>
          <w:tcPr>
            <w:tcW w:w="740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b/>
                <w:bCs/>
                <w:color w:val="000000"/>
                <w:szCs w:val="21"/>
                <w:lang w:val="en-US" w:eastAsia="zh-CN"/>
              </w:rPr>
            </w:pPr>
            <w:r>
              <w:rPr>
                <w:rFonts w:hint="eastAsia"/>
                <w:b/>
                <w:bCs/>
              </w:rPr>
              <w:t>正本1份，副本2份，封面右上角须注明正副本，</w:t>
            </w:r>
            <w:r>
              <w:rPr>
                <w:rFonts w:hint="eastAsia" w:ascii="宋体" w:hAnsi="宋体"/>
                <w:b/>
                <w:bCs/>
                <w:color w:val="000000"/>
                <w:szCs w:val="21"/>
              </w:rPr>
              <w:t>正本与副本不一致时，以正本为准。</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23</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投标文件封套上应载明的信息</w:t>
            </w:r>
          </w:p>
        </w:tc>
        <w:tc>
          <w:tcPr>
            <w:tcW w:w="74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b w:val="0"/>
                <w:bCs w:val="0"/>
                <w:color w:val="auto"/>
              </w:rPr>
            </w:pPr>
            <w:r>
              <w:rPr>
                <w:rFonts w:hint="eastAsia" w:ascii="宋体" w:hAnsi="宋体" w:cs="宋体"/>
                <w:b w:val="0"/>
                <w:bCs w:val="0"/>
                <w:color w:val="auto"/>
              </w:rPr>
              <w:t>项目名称：</w:t>
            </w:r>
            <w:r>
              <w:rPr>
                <w:rFonts w:ascii="宋体" w:hAnsi="宋体" w:cs="宋体"/>
                <w:b w:val="0"/>
                <w:bCs w:val="0"/>
                <w:color w:val="auto"/>
                <w:u w:val="single"/>
              </w:rPr>
              <w:t xml:space="preserve">              </w:t>
            </w:r>
            <w:r>
              <w:rPr>
                <w:rFonts w:hint="eastAsia" w:ascii="宋体" w:hAnsi="宋体" w:cs="宋体"/>
                <w:b w:val="0"/>
                <w:bCs w:val="0"/>
                <w:color w:val="auto"/>
                <w:u w:val="single"/>
              </w:rPr>
              <w:t xml:space="preserve">    </w:t>
            </w:r>
            <w:r>
              <w:rPr>
                <w:rFonts w:ascii="宋体" w:hAnsi="宋体" w:cs="宋体"/>
                <w:b w:val="0"/>
                <w:bCs w:val="0"/>
                <w:color w:val="auto"/>
                <w:u w:val="single"/>
              </w:rPr>
              <w:t xml:space="preserve">  </w:t>
            </w:r>
            <w:r>
              <w:rPr>
                <w:rFonts w:hint="eastAsia" w:ascii="宋体" w:hAnsi="宋体" w:cs="宋体"/>
                <w:b w:val="0"/>
                <w:bCs w:val="0"/>
                <w:color w:val="auto"/>
              </w:rPr>
              <w:t>（项目名称）投标文件</w:t>
            </w:r>
          </w:p>
          <w:p>
            <w:pPr>
              <w:widowControl/>
              <w:spacing w:line="400" w:lineRule="exact"/>
              <w:jc w:val="left"/>
              <w:rPr>
                <w:rFonts w:ascii="宋体" w:hAnsi="宋体" w:cs="宋体"/>
                <w:b w:val="0"/>
                <w:bCs w:val="0"/>
                <w:color w:val="auto"/>
                <w:u w:val="single"/>
              </w:rPr>
            </w:pPr>
            <w:r>
              <w:rPr>
                <w:rFonts w:hint="eastAsia" w:ascii="宋体" w:hAnsi="宋体" w:cs="宋体"/>
                <w:b w:val="0"/>
                <w:bCs w:val="0"/>
                <w:color w:val="auto"/>
              </w:rPr>
              <w:t>投标人地址：</w:t>
            </w:r>
            <w:r>
              <w:rPr>
                <w:rFonts w:ascii="宋体" w:hAnsi="宋体" w:cs="宋体"/>
                <w:b w:val="0"/>
                <w:bCs w:val="0"/>
                <w:color w:val="auto"/>
                <w:u w:val="single"/>
              </w:rPr>
              <w:t xml:space="preserve">                    </w:t>
            </w:r>
          </w:p>
          <w:p>
            <w:pPr>
              <w:widowControl/>
              <w:spacing w:line="400" w:lineRule="exact"/>
              <w:jc w:val="left"/>
              <w:rPr>
                <w:rFonts w:ascii="宋体"/>
                <w:b w:val="0"/>
                <w:bCs w:val="0"/>
                <w:color w:val="auto"/>
              </w:rPr>
            </w:pPr>
            <w:r>
              <w:rPr>
                <w:rFonts w:hint="eastAsia" w:ascii="宋体" w:hAnsi="宋体" w:cs="宋体"/>
                <w:b w:val="0"/>
                <w:bCs w:val="0"/>
                <w:color w:val="auto"/>
              </w:rPr>
              <w:t>投标人名称：</w:t>
            </w:r>
            <w:r>
              <w:rPr>
                <w:rFonts w:ascii="宋体" w:hAnsi="宋体" w:cs="宋体"/>
                <w:b w:val="0"/>
                <w:bCs w:val="0"/>
                <w:color w:val="auto"/>
              </w:rPr>
              <w:t xml:space="preserve"> </w:t>
            </w:r>
            <w:r>
              <w:rPr>
                <w:rFonts w:ascii="宋体" w:hAnsi="宋体" w:cs="宋体"/>
                <w:b w:val="0"/>
                <w:bCs w:val="0"/>
                <w:color w:val="auto"/>
                <w:u w:val="single"/>
              </w:rPr>
              <w:t xml:space="preserve">                   </w:t>
            </w:r>
          </w:p>
          <w:p>
            <w:pPr>
              <w:rPr>
                <w:rFonts w:ascii="宋体" w:hAnsi="宋体" w:cs="宋体"/>
                <w:color w:val="auto"/>
                <w:szCs w:val="21"/>
              </w:rPr>
            </w:pPr>
            <w:r>
              <w:rPr>
                <w:rFonts w:hint="eastAsia" w:ascii="宋体" w:hAnsi="宋体" w:cs="宋体"/>
                <w:b w:val="0"/>
                <w:bCs w:val="0"/>
                <w:color w:val="auto"/>
              </w:rPr>
              <w:t>在</w:t>
            </w:r>
            <w:r>
              <w:rPr>
                <w:rFonts w:ascii="宋体" w:hAnsi="宋体" w:cs="宋体"/>
                <w:b w:val="0"/>
                <w:bCs w:val="0"/>
                <w:color w:val="auto"/>
              </w:rPr>
              <w:t xml:space="preserve"> </w:t>
            </w:r>
            <w:r>
              <w:rPr>
                <w:rFonts w:hint="eastAsia" w:ascii="宋体" w:hAnsi="宋体" w:cs="宋体"/>
                <w:b w:val="0"/>
                <w:bCs w:val="0"/>
                <w:color w:val="auto"/>
              </w:rPr>
              <w:t>2024年</w:t>
            </w:r>
            <w:r>
              <w:rPr>
                <w:rFonts w:hint="eastAsia" w:ascii="宋体" w:hAnsi="宋体" w:cs="宋体"/>
                <w:b w:val="0"/>
                <w:bCs w:val="0"/>
                <w:color w:val="auto"/>
                <w:lang w:val="en-US" w:eastAsia="zh-CN"/>
              </w:rPr>
              <w:t xml:space="preserve"> </w:t>
            </w:r>
            <w:r>
              <w:rPr>
                <w:rFonts w:hint="eastAsia" w:ascii="宋体" w:hAnsi="宋体" w:cs="宋体"/>
                <w:b w:val="0"/>
                <w:bCs w:val="0"/>
                <w:color w:val="auto"/>
              </w:rPr>
              <w:t>月</w:t>
            </w:r>
            <w:r>
              <w:rPr>
                <w:rFonts w:hint="eastAsia" w:ascii="宋体" w:hAnsi="宋体" w:cs="宋体"/>
                <w:b w:val="0"/>
                <w:bCs w:val="0"/>
                <w:color w:val="auto"/>
                <w:lang w:val="en-US" w:eastAsia="zh-CN"/>
              </w:rPr>
              <w:t xml:space="preserve"> </w:t>
            </w:r>
            <w:r>
              <w:rPr>
                <w:rFonts w:hint="eastAsia" w:ascii="宋体" w:hAnsi="宋体" w:cs="宋体"/>
                <w:b w:val="0"/>
                <w:bCs w:val="0"/>
                <w:color w:val="auto"/>
              </w:rPr>
              <w:t>日</w:t>
            </w:r>
            <w:r>
              <w:rPr>
                <w:rFonts w:hint="eastAsia" w:ascii="宋体" w:hAnsi="宋体" w:cs="宋体"/>
                <w:b w:val="0"/>
                <w:bCs w:val="0"/>
                <w:color w:val="auto"/>
                <w:lang w:val="en-US" w:eastAsia="zh-CN"/>
              </w:rPr>
              <w:t xml:space="preserve"> </w:t>
            </w:r>
            <w:r>
              <w:rPr>
                <w:rFonts w:hint="eastAsia" w:ascii="宋体" w:hAnsi="宋体" w:cs="宋体"/>
                <w:b w:val="0"/>
                <w:bCs w:val="0"/>
                <w:color w:val="auto"/>
              </w:rPr>
              <w:t>时00分前不得开启</w:t>
            </w:r>
          </w:p>
        </w:tc>
      </w:tr>
      <w:tr>
        <w:tblPrEx>
          <w:tblCellMar>
            <w:top w:w="0" w:type="dxa"/>
            <w:left w:w="108" w:type="dxa"/>
            <w:bottom w:w="0" w:type="dxa"/>
            <w:right w:w="108" w:type="dxa"/>
          </w:tblCellMar>
        </w:tblPrEx>
        <w:trPr>
          <w:trHeight w:val="454" w:hRule="atLeast"/>
          <w:jc w:val="center"/>
        </w:trPr>
        <w:tc>
          <w:tcPr>
            <w:tcW w:w="767"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24</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投标截止时间</w:t>
            </w:r>
          </w:p>
        </w:tc>
        <w:tc>
          <w:tcPr>
            <w:tcW w:w="74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4"/>
                <w:kern w:val="0"/>
                <w:szCs w:val="21"/>
              </w:rPr>
            </w:pPr>
            <w:r>
              <w:rPr>
                <w:rFonts w:hint="eastAsia" w:ascii="宋体" w:hAnsi="宋体" w:cs="宋体"/>
                <w:b/>
                <w:bCs/>
                <w:color w:val="auto"/>
                <w:spacing w:val="-4"/>
                <w:kern w:val="0"/>
                <w:szCs w:val="21"/>
              </w:rPr>
              <w:t>2024年</w:t>
            </w:r>
            <w:r>
              <w:rPr>
                <w:rFonts w:hint="eastAsia" w:ascii="宋体" w:hAnsi="宋体" w:cs="宋体"/>
                <w:b/>
                <w:bCs/>
                <w:color w:val="auto"/>
                <w:spacing w:val="-4"/>
                <w:kern w:val="0"/>
                <w:szCs w:val="21"/>
                <w:lang w:val="en-US" w:eastAsia="zh-CN"/>
              </w:rPr>
              <w:t>04</w:t>
            </w:r>
            <w:r>
              <w:rPr>
                <w:rFonts w:hint="eastAsia" w:ascii="宋体" w:hAnsi="宋体" w:cs="宋体"/>
                <w:b/>
                <w:bCs/>
                <w:color w:val="auto"/>
                <w:spacing w:val="-4"/>
                <w:kern w:val="0"/>
                <w:szCs w:val="21"/>
              </w:rPr>
              <w:t>月</w:t>
            </w:r>
            <w:r>
              <w:rPr>
                <w:rFonts w:hint="eastAsia" w:ascii="宋体" w:hAnsi="宋体" w:cs="宋体"/>
                <w:b/>
                <w:bCs/>
                <w:color w:val="auto"/>
                <w:spacing w:val="-4"/>
                <w:kern w:val="0"/>
                <w:szCs w:val="21"/>
                <w:lang w:val="en-US" w:eastAsia="zh-CN"/>
              </w:rPr>
              <w:t xml:space="preserve">02 </w:t>
            </w:r>
            <w:r>
              <w:rPr>
                <w:rFonts w:hint="eastAsia" w:ascii="宋体" w:hAnsi="宋体" w:cs="宋体"/>
                <w:b/>
                <w:bCs/>
                <w:color w:val="auto"/>
                <w:spacing w:val="-4"/>
                <w:kern w:val="0"/>
                <w:szCs w:val="21"/>
              </w:rPr>
              <w:t>日</w:t>
            </w:r>
            <w:r>
              <w:rPr>
                <w:rFonts w:hint="eastAsia" w:ascii="宋体" w:hAnsi="宋体" w:cs="宋体"/>
                <w:b/>
                <w:bCs/>
                <w:color w:val="auto"/>
                <w:spacing w:val="-4"/>
                <w:kern w:val="0"/>
                <w:szCs w:val="21"/>
                <w:lang w:val="en-US" w:eastAsia="zh-CN"/>
              </w:rPr>
              <w:t xml:space="preserve"> 15</w:t>
            </w:r>
            <w:r>
              <w:rPr>
                <w:rFonts w:hint="eastAsia" w:ascii="宋体" w:hAnsi="宋体" w:cs="宋体"/>
                <w:b/>
                <w:bCs/>
                <w:color w:val="auto"/>
                <w:spacing w:val="-4"/>
                <w:kern w:val="0"/>
                <w:szCs w:val="21"/>
              </w:rPr>
              <w:t>时00分（北京时间）</w:t>
            </w:r>
          </w:p>
        </w:tc>
      </w:tr>
      <w:tr>
        <w:tblPrEx>
          <w:tblCellMar>
            <w:top w:w="0" w:type="dxa"/>
            <w:left w:w="108" w:type="dxa"/>
            <w:bottom w:w="0" w:type="dxa"/>
            <w:right w:w="108" w:type="dxa"/>
          </w:tblCellMar>
        </w:tblPrEx>
        <w:trPr>
          <w:trHeight w:val="454" w:hRule="atLeast"/>
          <w:jc w:val="center"/>
        </w:trPr>
        <w:tc>
          <w:tcPr>
            <w:tcW w:w="767"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开标时间及地点</w:t>
            </w:r>
          </w:p>
        </w:tc>
        <w:tc>
          <w:tcPr>
            <w:tcW w:w="74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开标时间：同投标截止时间</w:t>
            </w:r>
          </w:p>
          <w:p>
            <w:pPr>
              <w:rPr>
                <w:rFonts w:ascii="宋体" w:hAnsi="宋体" w:cs="宋体"/>
                <w:szCs w:val="21"/>
              </w:rPr>
            </w:pPr>
            <w:r>
              <w:rPr>
                <w:rFonts w:hint="eastAsia" w:ascii="宋体" w:hAnsi="宋体" w:cs="宋体"/>
                <w:szCs w:val="21"/>
              </w:rPr>
              <w:t>开标地点：滁州市机电工程学校综合楼206信息技术中心</w:t>
            </w:r>
          </w:p>
        </w:tc>
      </w:tr>
      <w:tr>
        <w:tblPrEx>
          <w:tblCellMar>
            <w:top w:w="0" w:type="dxa"/>
            <w:left w:w="108" w:type="dxa"/>
            <w:bottom w:w="0" w:type="dxa"/>
            <w:right w:w="108" w:type="dxa"/>
          </w:tblCellMar>
        </w:tblPrEx>
        <w:trPr>
          <w:trHeight w:val="454" w:hRule="atLeast"/>
          <w:jc w:val="center"/>
        </w:trPr>
        <w:tc>
          <w:tcPr>
            <w:tcW w:w="767" w:type="dxa"/>
            <w:vMerge w:val="continue"/>
            <w:tcBorders>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rPr>
              <w:t>开标程序</w:t>
            </w:r>
          </w:p>
        </w:tc>
        <w:tc>
          <w:tcPr>
            <w:tcW w:w="74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rPr>
            </w:pPr>
            <w:r>
              <w:rPr>
                <w:rFonts w:hint="eastAsia"/>
              </w:rPr>
              <w:t>密封情况：由投标人或其推选的代表检查投标文件的密封情况。</w:t>
            </w:r>
          </w:p>
          <w:p>
            <w:pPr>
              <w:spacing w:line="360" w:lineRule="auto"/>
              <w:rPr>
                <w:rFonts w:ascii="宋体" w:hAnsi="宋体" w:cs="宋体"/>
                <w:szCs w:val="21"/>
              </w:rPr>
            </w:pPr>
            <w:r>
              <w:rPr>
                <w:rFonts w:hint="eastAsia"/>
              </w:rPr>
              <w:t>开标顺序：先进行资格审查，资格审查合格后进行商务</w:t>
            </w:r>
            <w:r>
              <w:rPr>
                <w:rFonts w:hint="eastAsia"/>
                <w:lang w:eastAsia="zh-CN"/>
              </w:rPr>
              <w:t>报价</w:t>
            </w:r>
            <w:r>
              <w:rPr>
                <w:rFonts w:hint="eastAsia"/>
              </w:rPr>
              <w:t>评审。</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25</w:t>
            </w:r>
          </w:p>
        </w:tc>
        <w:tc>
          <w:tcPr>
            <w:tcW w:w="1815"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评标委员会的组建</w:t>
            </w:r>
          </w:p>
        </w:tc>
        <w:tc>
          <w:tcPr>
            <w:tcW w:w="7400" w:type="dxa"/>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Theme="minorEastAsia" w:hAnsiTheme="minorEastAsia" w:eastAsiaTheme="minorEastAsia" w:cstheme="minorEastAsia"/>
                <w:kern w:val="0"/>
                <w:sz w:val="24"/>
                <w:szCs w:val="24"/>
                <w:highlight w:val="none"/>
              </w:rPr>
              <w:t>评标委员会由采购人依法组建；由3名</w:t>
            </w:r>
            <w:r>
              <w:rPr>
                <w:rFonts w:hint="eastAsia" w:asciiTheme="minorEastAsia" w:hAnsiTheme="minorEastAsia" w:eastAsiaTheme="minorEastAsia" w:cstheme="minorEastAsia"/>
                <w:kern w:val="0"/>
                <w:sz w:val="24"/>
                <w:szCs w:val="24"/>
                <w:highlight w:val="none"/>
                <w:lang w:val="en-US" w:eastAsia="zh-CN"/>
              </w:rPr>
              <w:t>及以上</w:t>
            </w:r>
            <w:r>
              <w:rPr>
                <w:rFonts w:hint="eastAsia" w:asciiTheme="minorEastAsia" w:hAnsiTheme="minorEastAsia" w:eastAsiaTheme="minorEastAsia" w:cstheme="minorEastAsia"/>
                <w:kern w:val="0"/>
                <w:sz w:val="24"/>
                <w:szCs w:val="24"/>
                <w:highlight w:val="none"/>
              </w:rPr>
              <w:t>专家评委组成。</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26</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是否授权评标委员会确定中标候选人</w:t>
            </w:r>
          </w:p>
        </w:tc>
        <w:tc>
          <w:tcPr>
            <w:tcW w:w="74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是，推荐的中标候选人数：3名，并标明排序。</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27</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中标候选人公示媒介</w:t>
            </w:r>
          </w:p>
        </w:tc>
        <w:tc>
          <w:tcPr>
            <w:tcW w:w="74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滁州市机电工程学校网站（http://www.cztc.edu.cn/）</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28</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eastAsia="zh-CN"/>
              </w:rPr>
              <w:t>付款方式</w:t>
            </w:r>
          </w:p>
        </w:tc>
        <w:tc>
          <w:tcPr>
            <w:tcW w:w="7400"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spacing w:before="0" w:beforeAutospacing="0" w:after="0" w:afterAutospacing="0"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项目协审机构须按照《建设合同价款结算暂行办法》（财建﹝2004﹞369 号）规定的时限内完成该项目协审工作，出具审核报告，交付甲方初审确认，并经甲方备案审查通过后，支付审计服务费用。</w:t>
            </w:r>
          </w:p>
          <w:p>
            <w:pPr>
              <w:rPr>
                <w:rFonts w:hint="eastAsia" w:ascii="宋体" w:hAnsi="宋体" w:cs="宋体"/>
                <w:szCs w:val="21"/>
              </w:rPr>
            </w:pP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29</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szCs w:val="21"/>
              </w:rPr>
              <w:t>履约担保</w:t>
            </w:r>
          </w:p>
        </w:tc>
        <w:tc>
          <w:tcPr>
            <w:tcW w:w="74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rPr>
            </w:pPr>
            <w:r>
              <w:rPr>
                <w:rFonts w:hint="eastAsia"/>
                <w:szCs w:val="21"/>
              </w:rPr>
              <w:t>不要求</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近年财务状况的年份要求</w:t>
            </w:r>
          </w:p>
        </w:tc>
        <w:tc>
          <w:tcPr>
            <w:tcW w:w="74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szCs w:val="21"/>
              </w:rPr>
              <w:t>无</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31</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近年完成的类似项目的年份要求</w:t>
            </w:r>
          </w:p>
        </w:tc>
        <w:tc>
          <w:tcPr>
            <w:tcW w:w="740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zCs w:val="21"/>
                <w:lang w:val="en-US" w:eastAsia="zh-CN"/>
              </w:rPr>
            </w:pPr>
            <w:r>
              <w:rPr>
                <w:rFonts w:hint="eastAsia" w:ascii="宋体" w:hAnsi="宋体" w:cs="宋体"/>
                <w:szCs w:val="21"/>
                <w:lang w:val="en-US" w:eastAsia="zh-CN"/>
              </w:rPr>
              <w:t>详见招标公告</w:t>
            </w:r>
          </w:p>
        </w:tc>
      </w:tr>
      <w:tr>
        <w:tblPrEx>
          <w:tblCellMar>
            <w:top w:w="0" w:type="dxa"/>
            <w:left w:w="108" w:type="dxa"/>
            <w:bottom w:w="0" w:type="dxa"/>
            <w:right w:w="108" w:type="dxa"/>
          </w:tblCellMar>
        </w:tblPrEx>
        <w:trPr>
          <w:trHeight w:val="454" w:hRule="atLeast"/>
          <w:jc w:val="center"/>
        </w:trPr>
        <w:tc>
          <w:tcPr>
            <w:tcW w:w="998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szCs w:val="21"/>
              </w:rPr>
            </w:pPr>
            <w:r>
              <w:rPr>
                <w:rFonts w:hint="eastAsia" w:ascii="宋体" w:hAnsi="宋体" w:cs="宋体"/>
                <w:bCs/>
                <w:color w:val="000000"/>
                <w:szCs w:val="21"/>
              </w:rPr>
              <w:t>需要补充的其他内容</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电子招标投标</w:t>
            </w:r>
          </w:p>
        </w:tc>
        <w:tc>
          <w:tcPr>
            <w:tcW w:w="921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否，具体要求：按招标文件规定。</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招标代理服务费</w:t>
            </w:r>
          </w:p>
        </w:tc>
        <w:tc>
          <w:tcPr>
            <w:tcW w:w="921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eastAsia="宋体" w:cs="宋体"/>
                <w:szCs w:val="21"/>
              </w:rPr>
              <w:t>招标代理费：</w:t>
            </w:r>
            <w:r>
              <w:rPr>
                <w:rFonts w:hint="eastAsia" w:ascii="宋体" w:hAnsi="宋体" w:eastAsia="宋体" w:cs="宋体"/>
                <w:szCs w:val="21"/>
                <w:lang w:val="en-US" w:eastAsia="zh-CN"/>
              </w:rPr>
              <w:t>3000</w:t>
            </w:r>
            <w:r>
              <w:rPr>
                <w:rFonts w:hint="eastAsia" w:ascii="宋体" w:hAnsi="宋体" w:eastAsia="宋体" w:cs="宋体"/>
                <w:szCs w:val="21"/>
              </w:rPr>
              <w:t>元，不含专家评审费，专家评审费以实发为准，以上费用由中标人在领取中标通知书时一次性支付给代理公司。</w:t>
            </w:r>
          </w:p>
        </w:tc>
      </w:tr>
      <w:tr>
        <w:tblPrEx>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w:t>
            </w:r>
          </w:p>
        </w:tc>
        <w:tc>
          <w:tcPr>
            <w:tcW w:w="921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1、本招标文件前后条款若有不一致之处，在澄清答疑时又未作出明确规定时，各投标人的投标文件只要满足其中任一条款，均视为对本招标文件的响应。</w:t>
            </w:r>
          </w:p>
          <w:p>
            <w:pPr>
              <w:rPr>
                <w:rFonts w:ascii="宋体" w:hAnsi="宋体" w:cs="宋体"/>
                <w:szCs w:val="21"/>
              </w:rPr>
            </w:pPr>
            <w:r>
              <w:rPr>
                <w:rFonts w:hint="eastAsia" w:ascii="宋体" w:hAnsi="宋体" w:cs="宋体"/>
                <w:szCs w:val="21"/>
              </w:rPr>
              <w:t>2、本项目招标公告与本招标文件不一致之处，以本招标文件为准。</w:t>
            </w:r>
          </w:p>
          <w:p>
            <w:pPr>
              <w:rPr>
                <w:rFonts w:ascii="宋体" w:hAnsi="宋体" w:cs="宋体"/>
                <w:strike/>
                <w:color w:val="FF0000"/>
                <w:szCs w:val="21"/>
              </w:rPr>
            </w:pPr>
            <w:r>
              <w:rPr>
                <w:rFonts w:hint="eastAsia" w:ascii="宋体" w:hAnsi="宋体" w:cs="宋体"/>
                <w:szCs w:val="21"/>
              </w:rPr>
              <w:t>3、本项目严禁非法转包，一经发现，招标人依法处理。</w:t>
            </w:r>
          </w:p>
        </w:tc>
      </w:tr>
      <w:tr>
        <w:tblPrEx>
          <w:tblCellMar>
            <w:top w:w="0" w:type="dxa"/>
            <w:left w:w="108" w:type="dxa"/>
            <w:bottom w:w="0" w:type="dxa"/>
            <w:right w:w="108" w:type="dxa"/>
          </w:tblCellMar>
        </w:tblPrEx>
        <w:trPr>
          <w:trHeight w:val="1251"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Cs w:val="21"/>
              </w:rPr>
            </w:pPr>
            <w:r>
              <w:rPr>
                <w:rFonts w:hint="eastAsia" w:ascii="宋体" w:hAnsi="宋体" w:cs="宋体"/>
                <w:b/>
                <w:bCs/>
                <w:szCs w:val="21"/>
              </w:rPr>
              <w:t>有关说明</w:t>
            </w:r>
          </w:p>
        </w:tc>
        <w:tc>
          <w:tcPr>
            <w:tcW w:w="9215" w:type="dxa"/>
            <w:gridSpan w:val="2"/>
            <w:tcBorders>
              <w:top w:val="single" w:color="auto" w:sz="4" w:space="0"/>
              <w:left w:val="single" w:color="auto" w:sz="4" w:space="0"/>
              <w:bottom w:val="single" w:color="auto" w:sz="4" w:space="0"/>
              <w:right w:val="single" w:color="auto" w:sz="4" w:space="0"/>
            </w:tcBorders>
            <w:vAlign w:val="center"/>
          </w:tcPr>
          <w:p>
            <w:pPr>
              <w:numPr>
                <w:ilvl w:val="0"/>
                <w:numId w:val="2"/>
              </w:numPr>
              <w:rPr>
                <w:rFonts w:hint="eastAsia"/>
                <w:b/>
                <w:bCs/>
              </w:rPr>
            </w:pPr>
            <w:r>
              <w:rPr>
                <w:rFonts w:hint="eastAsia"/>
                <w:b/>
                <w:bCs/>
              </w:rPr>
              <w:t>本项目清单控制价编制单位、监理单位、代理单位等不得参加本项目投标。</w:t>
            </w:r>
          </w:p>
          <w:p>
            <w:pPr>
              <w:pStyle w:val="2"/>
              <w:numPr>
                <w:ilvl w:val="0"/>
                <w:numId w:val="0"/>
              </w:numPr>
              <w:rPr>
                <w:b/>
                <w:bCs/>
              </w:rPr>
            </w:pPr>
            <w:r>
              <w:rPr>
                <w:rFonts w:hint="eastAsia"/>
                <w:b/>
                <w:bCs/>
                <w:lang w:val="en-US" w:eastAsia="zh-CN"/>
              </w:rPr>
              <w:t>2、</w:t>
            </w:r>
            <w:r>
              <w:rPr>
                <w:rFonts w:hint="eastAsia"/>
                <w:b/>
                <w:bCs/>
                <w:lang w:eastAsia="zh-CN"/>
              </w:rPr>
              <w:t>安徽滁州技师学院新校区工程总承包招标项目的清单控制价编制单位、监理单位等也不得参加本项目的投标。</w:t>
            </w:r>
          </w:p>
        </w:tc>
      </w:tr>
    </w:tbl>
    <w:p>
      <w:pPr>
        <w:pStyle w:val="7"/>
        <w:spacing w:before="156" w:beforeLines="50" w:after="156" w:afterLines="50" w:line="440" w:lineRule="exact"/>
        <w:jc w:val="center"/>
        <w:rPr>
          <w:rFonts w:ascii="宋体" w:hAnsi="宋体"/>
          <w:b w:val="0"/>
          <w:color w:val="FF0000"/>
        </w:rPr>
      </w:pPr>
      <w:bookmarkStart w:id="22" w:name="_Toc506107318"/>
      <w:bookmarkStart w:id="23" w:name="_Toc15058903"/>
      <w:bookmarkStart w:id="24" w:name="_Toc324404865"/>
      <w:r>
        <w:rPr>
          <w:rFonts w:hint="eastAsia" w:ascii="宋体" w:hAnsi="宋体"/>
          <w:bCs w:val="0"/>
        </w:rPr>
        <w:t>第三章 资格审查办法</w:t>
      </w:r>
    </w:p>
    <w:p>
      <w:pPr>
        <w:jc w:val="center"/>
        <w:rPr>
          <w:b/>
          <w:bCs/>
          <w:sz w:val="30"/>
          <w:szCs w:val="30"/>
        </w:rPr>
      </w:pPr>
      <w:r>
        <w:rPr>
          <w:rFonts w:hint="eastAsia"/>
          <w:b/>
          <w:bCs/>
          <w:sz w:val="30"/>
          <w:szCs w:val="30"/>
        </w:rPr>
        <w:t>资格审查办法前附表</w:t>
      </w:r>
      <w:bookmarkEnd w:id="22"/>
      <w:bookmarkEnd w:id="23"/>
      <w:bookmarkEnd w:id="24"/>
    </w:p>
    <w:p>
      <w:pPr>
        <w:jc w:val="center"/>
      </w:pPr>
      <w:r>
        <w:rPr>
          <w:rFonts w:hint="eastAsia"/>
        </w:rPr>
        <w:t>资信证明文件评审</w:t>
      </w:r>
    </w:p>
    <w:tbl>
      <w:tblPr>
        <w:tblStyle w:val="28"/>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69"/>
        <w:gridCol w:w="5832"/>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041" w:type="dxa"/>
            <w:gridSpan w:val="2"/>
            <w:noWrap/>
            <w:vAlign w:val="center"/>
          </w:tcPr>
          <w:p>
            <w:pPr>
              <w:spacing w:line="440" w:lineRule="exact"/>
              <w:jc w:val="center"/>
              <w:rPr>
                <w:rFonts w:ascii="黑体" w:hAnsi="黑体" w:eastAsia="黑体" w:cs="宋体"/>
                <w:b/>
                <w:bCs/>
                <w:szCs w:val="21"/>
              </w:rPr>
            </w:pPr>
            <w:r>
              <w:rPr>
                <w:rFonts w:hint="eastAsia" w:ascii="黑体" w:hAnsi="黑体" w:eastAsia="黑体" w:cs="宋体"/>
                <w:b/>
                <w:bCs/>
                <w:szCs w:val="21"/>
              </w:rPr>
              <w:t>条款号</w:t>
            </w:r>
          </w:p>
        </w:tc>
        <w:tc>
          <w:tcPr>
            <w:tcW w:w="5832" w:type="dxa"/>
            <w:noWrap/>
            <w:vAlign w:val="center"/>
          </w:tcPr>
          <w:p>
            <w:pPr>
              <w:spacing w:line="440" w:lineRule="exact"/>
              <w:jc w:val="center"/>
              <w:rPr>
                <w:rFonts w:ascii="黑体" w:hAnsi="黑体" w:eastAsia="黑体" w:cs="宋体"/>
                <w:b/>
                <w:bCs/>
                <w:szCs w:val="21"/>
              </w:rPr>
            </w:pPr>
            <w:r>
              <w:rPr>
                <w:rFonts w:hint="eastAsia" w:ascii="黑体" w:hAnsi="黑体" w:eastAsia="黑体" w:cs="宋体"/>
                <w:b/>
                <w:bCs/>
                <w:szCs w:val="21"/>
              </w:rPr>
              <w:t>审查内容</w:t>
            </w:r>
          </w:p>
        </w:tc>
        <w:tc>
          <w:tcPr>
            <w:tcW w:w="2285" w:type="dxa"/>
            <w:noWrap/>
            <w:vAlign w:val="center"/>
          </w:tcPr>
          <w:p>
            <w:pPr>
              <w:spacing w:line="440" w:lineRule="exact"/>
              <w:jc w:val="center"/>
              <w:rPr>
                <w:rFonts w:ascii="黑体" w:hAnsi="黑体" w:eastAsia="黑体" w:cs="宋体"/>
                <w:b/>
                <w:bCs/>
                <w:szCs w:val="21"/>
              </w:rPr>
            </w:pPr>
            <w:r>
              <w:rPr>
                <w:rFonts w:hint="eastAsia" w:ascii="黑体" w:hAnsi="黑体" w:eastAsia="黑体" w:cs="宋体"/>
                <w:b/>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72" w:type="dxa"/>
            <w:vMerge w:val="restart"/>
            <w:noWrap/>
            <w:vAlign w:val="center"/>
          </w:tcPr>
          <w:p>
            <w:pPr>
              <w:spacing w:line="440" w:lineRule="exact"/>
              <w:jc w:val="center"/>
              <w:rPr>
                <w:rFonts w:ascii="宋体" w:hAnsi="宋体" w:cs="宋体"/>
                <w:szCs w:val="21"/>
              </w:rPr>
            </w:pPr>
            <w:r>
              <w:rPr>
                <w:rFonts w:hint="eastAsia" w:ascii="宋体" w:hAnsi="宋体" w:cs="宋体"/>
                <w:szCs w:val="21"/>
              </w:rPr>
              <w:t>1</w:t>
            </w:r>
          </w:p>
        </w:tc>
        <w:tc>
          <w:tcPr>
            <w:tcW w:w="1269" w:type="dxa"/>
            <w:vMerge w:val="restart"/>
            <w:noWrap/>
            <w:vAlign w:val="center"/>
          </w:tcPr>
          <w:p>
            <w:pPr>
              <w:spacing w:line="440" w:lineRule="exact"/>
              <w:jc w:val="center"/>
              <w:rPr>
                <w:rFonts w:ascii="宋体" w:hAnsi="宋体" w:cs="宋体"/>
                <w:b/>
                <w:bCs/>
                <w:szCs w:val="21"/>
              </w:rPr>
            </w:pPr>
            <w:r>
              <w:rPr>
                <w:rFonts w:hint="eastAsia" w:ascii="宋体" w:hAnsi="宋体" w:cs="宋体"/>
                <w:b/>
                <w:bCs/>
                <w:szCs w:val="21"/>
              </w:rPr>
              <w:t>审查资料</w:t>
            </w:r>
          </w:p>
        </w:tc>
        <w:tc>
          <w:tcPr>
            <w:tcW w:w="5832" w:type="dxa"/>
            <w:noWrap/>
          </w:tcPr>
          <w:p>
            <w:pPr>
              <w:spacing w:line="440" w:lineRule="exact"/>
              <w:rPr>
                <w:rFonts w:ascii="宋体" w:hAnsi="宋体" w:cs="宋体"/>
                <w:szCs w:val="21"/>
              </w:rPr>
            </w:pPr>
            <w:r>
              <w:rPr>
                <w:rFonts w:hint="eastAsia" w:ascii="宋体" w:hAnsi="宋体" w:cs="宋体"/>
                <w:szCs w:val="21"/>
              </w:rPr>
              <w:t>法定代表人身份证明和本人有效身份证(或法定代表人授权委托书和委托代理人有效身份证)</w:t>
            </w:r>
          </w:p>
        </w:tc>
        <w:tc>
          <w:tcPr>
            <w:tcW w:w="2285" w:type="dxa"/>
            <w:noWrap/>
            <w:vAlign w:val="center"/>
          </w:tcPr>
          <w:p>
            <w:pPr>
              <w:spacing w:line="440" w:lineRule="exact"/>
              <w:jc w:val="center"/>
              <w:rPr>
                <w:rFonts w:ascii="宋体" w:hAnsi="宋体" w:cs="宋体"/>
                <w:b/>
                <w:szCs w:val="21"/>
              </w:rPr>
            </w:pPr>
            <w:r>
              <w:rPr>
                <w:rFonts w:hint="eastAsia" w:ascii="宋体" w:hAnsi="宋体" w:cs="宋体"/>
                <w:b/>
                <w:szCs w:val="21"/>
              </w:rPr>
              <w:t>检验原件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2" w:type="dxa"/>
            <w:vMerge w:val="continue"/>
            <w:noWrap/>
            <w:vAlign w:val="center"/>
          </w:tcPr>
          <w:p>
            <w:pPr>
              <w:spacing w:line="440" w:lineRule="exact"/>
              <w:jc w:val="center"/>
              <w:rPr>
                <w:rFonts w:ascii="宋体" w:hAnsi="宋体" w:cs="宋体"/>
                <w:szCs w:val="21"/>
              </w:rPr>
            </w:pPr>
          </w:p>
        </w:tc>
        <w:tc>
          <w:tcPr>
            <w:tcW w:w="1269" w:type="dxa"/>
            <w:vMerge w:val="continue"/>
            <w:noWrap/>
            <w:vAlign w:val="center"/>
          </w:tcPr>
          <w:p>
            <w:pPr>
              <w:spacing w:line="440" w:lineRule="exact"/>
              <w:jc w:val="center"/>
              <w:rPr>
                <w:rFonts w:ascii="宋体" w:hAnsi="宋体" w:cs="宋体"/>
                <w:b/>
                <w:bCs/>
                <w:szCs w:val="21"/>
              </w:rPr>
            </w:pPr>
          </w:p>
        </w:tc>
        <w:tc>
          <w:tcPr>
            <w:tcW w:w="5832" w:type="dxa"/>
            <w:noWrap/>
          </w:tcPr>
          <w:p>
            <w:pPr>
              <w:spacing w:line="440" w:lineRule="exact"/>
              <w:rPr>
                <w:rFonts w:ascii="宋体" w:hAnsi="宋体" w:cs="宋体"/>
                <w:szCs w:val="21"/>
              </w:rPr>
            </w:pPr>
            <w:r>
              <w:rPr>
                <w:rFonts w:hint="eastAsia" w:ascii="宋体" w:hAnsi="宋体" w:cs="宋体"/>
                <w:szCs w:val="21"/>
              </w:rPr>
              <w:t>诚信投标承诺书</w:t>
            </w:r>
          </w:p>
        </w:tc>
        <w:tc>
          <w:tcPr>
            <w:tcW w:w="2285" w:type="dxa"/>
            <w:vMerge w:val="restart"/>
            <w:noWrap/>
            <w:vAlign w:val="center"/>
          </w:tcPr>
          <w:p>
            <w:pPr>
              <w:spacing w:line="440" w:lineRule="exact"/>
              <w:jc w:val="center"/>
              <w:rPr>
                <w:rFonts w:ascii="宋体" w:hAnsi="宋体" w:cs="宋体"/>
                <w:b/>
                <w:szCs w:val="21"/>
              </w:rPr>
            </w:pPr>
            <w:r>
              <w:rPr>
                <w:rFonts w:hint="eastAsia" w:ascii="宋体" w:hAnsi="宋体" w:cs="宋体"/>
                <w:b/>
                <w:szCs w:val="21"/>
              </w:rPr>
              <w:t>检验</w:t>
            </w:r>
            <w:r>
              <w:rPr>
                <w:rFonts w:hint="eastAsia" w:ascii="宋体" w:hAnsi="宋体" w:cs="宋体"/>
                <w:b/>
                <w:szCs w:val="21"/>
                <w:lang w:val="en-US" w:eastAsia="zh-CN"/>
              </w:rPr>
              <w:t>原件或复印件加盖公章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2" w:type="dxa"/>
            <w:vMerge w:val="continue"/>
            <w:noWrap/>
            <w:vAlign w:val="center"/>
          </w:tcPr>
          <w:p>
            <w:pPr>
              <w:spacing w:line="440" w:lineRule="exact"/>
              <w:jc w:val="center"/>
              <w:rPr>
                <w:rFonts w:ascii="宋体" w:hAnsi="宋体" w:cs="宋体"/>
                <w:szCs w:val="21"/>
              </w:rPr>
            </w:pPr>
          </w:p>
        </w:tc>
        <w:tc>
          <w:tcPr>
            <w:tcW w:w="1269" w:type="dxa"/>
            <w:vMerge w:val="continue"/>
            <w:noWrap/>
            <w:vAlign w:val="center"/>
          </w:tcPr>
          <w:p>
            <w:pPr>
              <w:spacing w:line="440" w:lineRule="exact"/>
              <w:jc w:val="center"/>
              <w:rPr>
                <w:rFonts w:ascii="宋体" w:hAnsi="宋体" w:cs="宋体"/>
                <w:b/>
                <w:bCs/>
                <w:szCs w:val="21"/>
              </w:rPr>
            </w:pPr>
          </w:p>
        </w:tc>
        <w:tc>
          <w:tcPr>
            <w:tcW w:w="5832" w:type="dxa"/>
            <w:noWrap/>
            <w:vAlign w:val="top"/>
          </w:tcPr>
          <w:p>
            <w:pPr>
              <w:keepNext w:val="0"/>
              <w:keepLines w:val="0"/>
              <w:pageBreakBefore w:val="0"/>
              <w:kinsoku/>
              <w:overflowPunct/>
              <w:topLinePunct w:val="0"/>
              <w:autoSpaceDE/>
              <w:autoSpaceDN/>
              <w:bidi w:val="0"/>
              <w:adjustRightInd/>
              <w:spacing w:line="420" w:lineRule="exact"/>
              <w:jc w:val="left"/>
              <w:textAlignment w:val="auto"/>
              <w:rPr>
                <w:rFonts w:hint="eastAsia" w:ascii="宋体" w:hAnsi="宋体" w:eastAsia="宋体" w:cs="宋体"/>
                <w:kern w:val="2"/>
                <w:sz w:val="21"/>
                <w:szCs w:val="21"/>
                <w:lang w:val="en-US" w:eastAsia="zh-CN" w:bidi="ar-SA"/>
              </w:rPr>
            </w:pPr>
            <w:r>
              <w:rPr>
                <w:rFonts w:ascii="宋体" w:hAnsi="宋体" w:eastAsia="宋体" w:cs="宋体"/>
                <w:color w:val="auto"/>
                <w:sz w:val="21"/>
                <w:szCs w:val="21"/>
                <w:highlight w:val="none"/>
              </w:rPr>
              <w:t>具有有效的营业执照</w:t>
            </w:r>
          </w:p>
        </w:tc>
        <w:tc>
          <w:tcPr>
            <w:tcW w:w="2285" w:type="dxa"/>
            <w:vMerge w:val="continue"/>
            <w:noWrap/>
            <w:vAlign w:val="center"/>
          </w:tcPr>
          <w:p>
            <w:pPr>
              <w:spacing w:line="440" w:lineRule="exact"/>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2" w:type="dxa"/>
            <w:vMerge w:val="continue"/>
            <w:noWrap/>
            <w:vAlign w:val="center"/>
          </w:tcPr>
          <w:p>
            <w:pPr>
              <w:spacing w:line="440" w:lineRule="exact"/>
              <w:jc w:val="center"/>
              <w:rPr>
                <w:rFonts w:ascii="宋体" w:hAnsi="宋体" w:cs="宋体"/>
                <w:szCs w:val="21"/>
              </w:rPr>
            </w:pPr>
          </w:p>
        </w:tc>
        <w:tc>
          <w:tcPr>
            <w:tcW w:w="1269" w:type="dxa"/>
            <w:vMerge w:val="continue"/>
            <w:noWrap/>
            <w:vAlign w:val="center"/>
          </w:tcPr>
          <w:p>
            <w:pPr>
              <w:spacing w:line="440" w:lineRule="exact"/>
              <w:jc w:val="center"/>
              <w:rPr>
                <w:rFonts w:ascii="宋体" w:hAnsi="宋体" w:cs="宋体"/>
                <w:b/>
                <w:bCs/>
                <w:szCs w:val="21"/>
              </w:rPr>
            </w:pPr>
          </w:p>
        </w:tc>
        <w:tc>
          <w:tcPr>
            <w:tcW w:w="5832" w:type="dxa"/>
            <w:noWrap/>
            <w:vAlign w:val="top"/>
          </w:tcPr>
          <w:p>
            <w:pPr>
              <w:keepNext w:val="0"/>
              <w:keepLines w:val="0"/>
              <w:pageBreakBefore w:val="0"/>
              <w:kinsoku/>
              <w:overflowPunct/>
              <w:topLinePunct w:val="0"/>
              <w:autoSpaceDE/>
              <w:autoSpaceDN/>
              <w:bidi w:val="0"/>
              <w:adjustRightInd/>
              <w:spacing w:line="4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企业及项目负责人业绩证明材料</w:t>
            </w:r>
          </w:p>
        </w:tc>
        <w:tc>
          <w:tcPr>
            <w:tcW w:w="2285" w:type="dxa"/>
            <w:vMerge w:val="continue"/>
            <w:noWrap/>
            <w:vAlign w:val="center"/>
          </w:tcPr>
          <w:p>
            <w:pPr>
              <w:spacing w:line="440" w:lineRule="exact"/>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2" w:type="dxa"/>
            <w:vMerge w:val="continue"/>
            <w:noWrap/>
            <w:vAlign w:val="center"/>
          </w:tcPr>
          <w:p>
            <w:pPr>
              <w:spacing w:line="440" w:lineRule="exact"/>
              <w:jc w:val="center"/>
              <w:rPr>
                <w:rFonts w:ascii="宋体" w:hAnsi="宋体" w:cs="宋体"/>
                <w:szCs w:val="21"/>
              </w:rPr>
            </w:pPr>
          </w:p>
        </w:tc>
        <w:tc>
          <w:tcPr>
            <w:tcW w:w="1269" w:type="dxa"/>
            <w:vMerge w:val="continue"/>
            <w:noWrap/>
            <w:vAlign w:val="center"/>
          </w:tcPr>
          <w:p>
            <w:pPr>
              <w:spacing w:line="440" w:lineRule="exact"/>
              <w:jc w:val="center"/>
              <w:rPr>
                <w:rFonts w:ascii="宋体" w:hAnsi="宋体" w:cs="宋体"/>
                <w:b/>
                <w:bCs/>
                <w:szCs w:val="21"/>
              </w:rPr>
            </w:pPr>
          </w:p>
        </w:tc>
        <w:tc>
          <w:tcPr>
            <w:tcW w:w="5832" w:type="dxa"/>
            <w:noWrap/>
            <w:vAlign w:val="top"/>
          </w:tcPr>
          <w:p>
            <w:pPr>
              <w:spacing w:line="440" w:lineRule="exact"/>
              <w:rPr>
                <w:rFonts w:ascii="宋体" w:hAnsi="宋体" w:eastAsia="宋体" w:cs="宋体"/>
                <w:kern w:val="2"/>
                <w:sz w:val="21"/>
                <w:szCs w:val="21"/>
                <w:lang w:val="en-US" w:eastAsia="zh-CN" w:bidi="ar-SA"/>
              </w:rPr>
            </w:pPr>
            <w:r>
              <w:rPr>
                <w:rFonts w:hint="eastAsia" w:ascii="宋体" w:hAnsi="宋体" w:cs="宋体"/>
                <w:szCs w:val="21"/>
              </w:rPr>
              <w:t>拟任项目负责人身份证、资格证书</w:t>
            </w:r>
          </w:p>
        </w:tc>
        <w:tc>
          <w:tcPr>
            <w:tcW w:w="2285" w:type="dxa"/>
            <w:vMerge w:val="continue"/>
            <w:noWrap/>
            <w:vAlign w:val="center"/>
          </w:tcPr>
          <w:p>
            <w:pPr>
              <w:spacing w:line="44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72" w:type="dxa"/>
            <w:vMerge w:val="continue"/>
            <w:noWrap/>
            <w:vAlign w:val="center"/>
          </w:tcPr>
          <w:p>
            <w:pPr>
              <w:spacing w:line="440" w:lineRule="exact"/>
              <w:jc w:val="center"/>
              <w:rPr>
                <w:rFonts w:ascii="宋体" w:hAnsi="宋体" w:cs="宋体"/>
                <w:szCs w:val="21"/>
              </w:rPr>
            </w:pPr>
          </w:p>
        </w:tc>
        <w:tc>
          <w:tcPr>
            <w:tcW w:w="1269" w:type="dxa"/>
            <w:vMerge w:val="continue"/>
            <w:noWrap/>
            <w:vAlign w:val="center"/>
          </w:tcPr>
          <w:p>
            <w:pPr>
              <w:spacing w:line="440" w:lineRule="exact"/>
              <w:jc w:val="center"/>
              <w:rPr>
                <w:rFonts w:ascii="宋体" w:hAnsi="宋体" w:cs="宋体"/>
                <w:b/>
                <w:bCs/>
                <w:szCs w:val="21"/>
              </w:rPr>
            </w:pPr>
          </w:p>
        </w:tc>
        <w:tc>
          <w:tcPr>
            <w:tcW w:w="5832" w:type="dxa"/>
            <w:noWrap/>
          </w:tcPr>
          <w:p>
            <w:pPr>
              <w:spacing w:line="440" w:lineRule="exact"/>
              <w:rPr>
                <w:rFonts w:hint="eastAsia" w:ascii="宋体" w:hAnsi="宋体" w:eastAsia="宋体" w:cs="宋体"/>
                <w:szCs w:val="21"/>
                <w:lang w:eastAsia="zh-CN"/>
              </w:rPr>
            </w:pPr>
            <w:r>
              <w:rPr>
                <w:rFonts w:hint="eastAsia" w:ascii="宋体" w:hAnsi="宋体" w:cs="宋体"/>
                <w:szCs w:val="21"/>
                <w:lang w:eastAsia="zh-CN"/>
              </w:rPr>
              <w:t>拟派项目组成员身份证、资格证书</w:t>
            </w:r>
          </w:p>
        </w:tc>
        <w:tc>
          <w:tcPr>
            <w:tcW w:w="2285" w:type="dxa"/>
            <w:vMerge w:val="continue"/>
            <w:noWrap/>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772" w:type="dxa"/>
            <w:vMerge w:val="continue"/>
            <w:noWrap/>
            <w:vAlign w:val="center"/>
          </w:tcPr>
          <w:p>
            <w:pPr>
              <w:spacing w:line="440" w:lineRule="exact"/>
              <w:jc w:val="center"/>
              <w:rPr>
                <w:rFonts w:ascii="宋体" w:hAnsi="宋体" w:cs="宋体"/>
                <w:szCs w:val="21"/>
              </w:rPr>
            </w:pPr>
            <w:bookmarkStart w:id="25" w:name="_Toc506107320"/>
            <w:bookmarkStart w:id="26" w:name="_Toc15058909"/>
          </w:p>
        </w:tc>
        <w:tc>
          <w:tcPr>
            <w:tcW w:w="1269" w:type="dxa"/>
            <w:vMerge w:val="continue"/>
            <w:noWrap/>
            <w:vAlign w:val="center"/>
          </w:tcPr>
          <w:p>
            <w:pPr>
              <w:spacing w:line="440" w:lineRule="exact"/>
              <w:jc w:val="center"/>
              <w:rPr>
                <w:rFonts w:ascii="宋体" w:hAnsi="宋体" w:cs="宋体"/>
                <w:b/>
                <w:bCs/>
                <w:szCs w:val="21"/>
              </w:rPr>
            </w:pPr>
          </w:p>
        </w:tc>
        <w:tc>
          <w:tcPr>
            <w:tcW w:w="5832" w:type="dxa"/>
            <w:noWrap/>
          </w:tcPr>
          <w:p>
            <w:pPr>
              <w:spacing w:line="440" w:lineRule="exact"/>
              <w:rPr>
                <w:rFonts w:ascii="宋体" w:hAnsi="宋体" w:cs="宋体"/>
                <w:szCs w:val="21"/>
              </w:rPr>
            </w:pPr>
            <w:r>
              <w:rPr>
                <w:rFonts w:hint="eastAsia" w:ascii="宋体" w:hAnsi="宋体" w:cs="宋体"/>
                <w:color w:val="000000"/>
                <w:szCs w:val="21"/>
              </w:rPr>
              <w:t>投标人的法定代表人(或委托代理人)和拟任项目经理</w:t>
            </w:r>
            <w:r>
              <w:rPr>
                <w:rFonts w:hint="eastAsia" w:ascii="宋体" w:hAnsi="宋体" w:cs="宋体"/>
                <w:color w:val="000000"/>
                <w:szCs w:val="21"/>
                <w:lang w:eastAsia="zh-CN"/>
              </w:rPr>
              <w:t>及项目组成员</w:t>
            </w:r>
            <w:r>
              <w:rPr>
                <w:rFonts w:hint="eastAsia" w:ascii="宋体" w:hAnsi="宋体" w:cs="宋体"/>
                <w:color w:val="000000"/>
                <w:szCs w:val="21"/>
              </w:rPr>
              <w:t>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2285" w:type="dxa"/>
            <w:vMerge w:val="continue"/>
            <w:noWrap/>
            <w:vAlign w:val="center"/>
          </w:tcPr>
          <w:p>
            <w:pPr>
              <w:spacing w:line="440" w:lineRule="exact"/>
              <w:jc w:val="center"/>
              <w:rPr>
                <w:rFonts w:ascii="宋体" w:hAnsi="宋体" w:cs="宋体"/>
                <w:szCs w:val="21"/>
              </w:rPr>
            </w:pPr>
          </w:p>
        </w:tc>
      </w:tr>
    </w:tbl>
    <w:p>
      <w:pPr>
        <w:pStyle w:val="7"/>
        <w:spacing w:before="0" w:after="0" w:line="440" w:lineRule="exact"/>
        <w:ind w:firstLine="422" w:firstLineChars="200"/>
        <w:rPr>
          <w:rFonts w:ascii="黑体" w:hAnsi="黑体" w:cs="黑体"/>
          <w:sz w:val="21"/>
          <w:szCs w:val="21"/>
        </w:rPr>
      </w:pPr>
      <w:r>
        <w:rPr>
          <w:rFonts w:hint="eastAsia" w:ascii="黑体" w:hAnsi="黑体" w:cs="黑体"/>
          <w:sz w:val="21"/>
          <w:szCs w:val="21"/>
        </w:rPr>
        <w:t>1.审查办法</w:t>
      </w:r>
      <w:bookmarkEnd w:id="25"/>
      <w:bookmarkEnd w:id="26"/>
    </w:p>
    <w:p>
      <w:pPr>
        <w:spacing w:line="440" w:lineRule="exact"/>
        <w:ind w:firstLine="420" w:firstLineChars="200"/>
        <w:rPr>
          <w:rFonts w:ascii="宋体" w:hAnsi="宋体" w:cs="宋体"/>
          <w:szCs w:val="21"/>
        </w:rPr>
      </w:pPr>
      <w:r>
        <w:rPr>
          <w:rFonts w:hint="eastAsia" w:ascii="宋体" w:hAnsi="宋体" w:cs="宋体"/>
          <w:szCs w:val="21"/>
        </w:rPr>
        <w:t>1、由资格审查委员会（评标委员会）按资格审查办法前附表中资格审查必要合格条件评审表要求对投标人审查资料进行核验。投标人有下列情形之一的，其资格审查为不合格：</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（1）未递交标书或标书经审查不合格；</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（2）联合体投标人没有提交联合体协议书；</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（3）法律、法规规定的其他情形。</w:t>
      </w:r>
    </w:p>
    <w:p>
      <w:pPr>
        <w:pStyle w:val="7"/>
        <w:spacing w:before="0" w:after="0" w:line="440" w:lineRule="exact"/>
        <w:ind w:firstLine="422" w:firstLineChars="200"/>
        <w:rPr>
          <w:rFonts w:ascii="黑体" w:hAnsi="黑体" w:cs="黑体"/>
          <w:sz w:val="21"/>
          <w:szCs w:val="21"/>
        </w:rPr>
      </w:pPr>
      <w:bookmarkStart w:id="27" w:name="_Toc15058910"/>
      <w:bookmarkStart w:id="28" w:name="_Toc324404868"/>
      <w:bookmarkStart w:id="29" w:name="_Toc506107321"/>
      <w:r>
        <w:rPr>
          <w:rFonts w:hint="eastAsia" w:ascii="黑体" w:hAnsi="黑体" w:cs="黑体"/>
          <w:sz w:val="21"/>
          <w:szCs w:val="21"/>
        </w:rPr>
        <w:t>2.资格审查委员会和审查标准</w:t>
      </w:r>
      <w:bookmarkEnd w:id="27"/>
      <w:bookmarkEnd w:id="28"/>
      <w:bookmarkEnd w:id="29"/>
    </w:p>
    <w:p>
      <w:pPr>
        <w:spacing w:line="440" w:lineRule="exact"/>
        <w:ind w:firstLine="420" w:firstLineChars="200"/>
        <w:rPr>
          <w:rFonts w:ascii="宋体" w:hAnsi="宋体" w:cs="宋体"/>
          <w:szCs w:val="21"/>
        </w:rPr>
      </w:pPr>
      <w:r>
        <w:rPr>
          <w:rFonts w:hint="eastAsia" w:ascii="宋体" w:hAnsi="宋体" w:cs="宋体"/>
          <w:szCs w:val="21"/>
        </w:rPr>
        <w:t>资格审查由招标人依法组建的资格审查委员会（或评标委员会）负责。审查标准见资格审查办法前附表。</w:t>
      </w:r>
    </w:p>
    <w:p>
      <w:pPr>
        <w:pStyle w:val="7"/>
        <w:spacing w:before="0" w:after="0" w:line="440" w:lineRule="exact"/>
        <w:ind w:firstLine="422" w:firstLineChars="200"/>
        <w:rPr>
          <w:rFonts w:ascii="黑体" w:hAnsi="黑体" w:cs="黑体"/>
          <w:sz w:val="21"/>
          <w:szCs w:val="21"/>
        </w:rPr>
      </w:pPr>
      <w:bookmarkStart w:id="30" w:name="_Toc506107322"/>
      <w:bookmarkStart w:id="31" w:name="_Toc324404869"/>
      <w:bookmarkStart w:id="32" w:name="_Toc15058911"/>
      <w:r>
        <w:rPr>
          <w:rFonts w:hint="eastAsia" w:ascii="黑体" w:hAnsi="黑体" w:cs="黑体"/>
          <w:sz w:val="21"/>
          <w:szCs w:val="21"/>
        </w:rPr>
        <w:t>3.审查结果</w:t>
      </w:r>
      <w:bookmarkEnd w:id="30"/>
      <w:bookmarkEnd w:id="31"/>
      <w:bookmarkEnd w:id="32"/>
    </w:p>
    <w:p>
      <w:pPr>
        <w:widowControl/>
        <w:spacing w:before="260" w:after="260"/>
        <w:ind w:firstLine="420" w:firstLineChars="200"/>
        <w:jc w:val="left"/>
        <w:outlineLvl w:val="0"/>
        <w:rPr>
          <w:rFonts w:ascii="宋体" w:hAnsi="宋体" w:cs="宋体"/>
          <w:szCs w:val="21"/>
        </w:rPr>
      </w:pPr>
      <w:r>
        <w:rPr>
          <w:rFonts w:hint="eastAsia" w:ascii="宋体" w:hAnsi="宋体" w:cs="宋体"/>
          <w:szCs w:val="21"/>
        </w:rPr>
        <w:t>只有通过资格审查的投标人才能进入下一步的评标程序。</w:t>
      </w:r>
    </w:p>
    <w:p>
      <w:pPr>
        <w:widowControl/>
        <w:jc w:val="left"/>
        <w:rPr>
          <w:rFonts w:ascii="宋体" w:hAnsi="宋体" w:cs="宋体"/>
          <w:kern w:val="0"/>
          <w:sz w:val="24"/>
        </w:rPr>
      </w:pPr>
    </w:p>
    <w:p>
      <w:pPr>
        <w:pStyle w:val="13"/>
        <w:rPr>
          <w:rFonts w:ascii="宋体" w:hAnsi="宋体" w:cs="宋体"/>
          <w:kern w:val="0"/>
          <w:sz w:val="24"/>
        </w:rPr>
      </w:pPr>
    </w:p>
    <w:p>
      <w:pPr>
        <w:widowControl/>
        <w:spacing w:before="260" w:after="260"/>
        <w:jc w:val="center"/>
        <w:outlineLvl w:val="0"/>
        <w:rPr>
          <w:rFonts w:ascii="宋体" w:hAnsi="宋体"/>
          <w:b/>
          <w:sz w:val="32"/>
          <w:szCs w:val="32"/>
        </w:rPr>
      </w:pPr>
      <w:r>
        <w:rPr>
          <w:rFonts w:hint="eastAsia" w:ascii="宋体" w:hAnsi="宋体"/>
          <w:b/>
          <w:sz w:val="32"/>
          <w:szCs w:val="32"/>
        </w:rPr>
        <w:br w:type="page"/>
      </w:r>
      <w:r>
        <w:rPr>
          <w:rFonts w:hint="eastAsia" w:ascii="宋体" w:hAnsi="宋体"/>
          <w:b/>
          <w:sz w:val="32"/>
          <w:szCs w:val="32"/>
        </w:rPr>
        <w:t>第四章 评标办法</w:t>
      </w:r>
    </w:p>
    <w:p>
      <w:pPr>
        <w:spacing w:line="360" w:lineRule="auto"/>
        <w:rPr>
          <w:rFonts w:ascii="宋体" w:hAnsi="宋体" w:cs="宋体"/>
          <w:sz w:val="24"/>
        </w:rPr>
      </w:pPr>
      <w:r>
        <w:rPr>
          <w:rFonts w:hint="eastAsia" w:ascii="宋体" w:hAnsi="宋体" w:cs="宋体"/>
          <w:sz w:val="24"/>
        </w:rPr>
        <w:t>1.为进一步简化招标程序，提高招标工作的效率，结合本市实际，制定本办法。</w:t>
      </w:r>
    </w:p>
    <w:p>
      <w:pPr>
        <w:spacing w:line="360" w:lineRule="auto"/>
        <w:rPr>
          <w:rFonts w:ascii="宋体" w:hAnsi="宋体" w:cs="宋体"/>
          <w:sz w:val="24"/>
        </w:rPr>
      </w:pPr>
      <w:r>
        <w:rPr>
          <w:rFonts w:hint="eastAsia" w:ascii="宋体" w:hAnsi="宋体" w:cs="宋体"/>
          <w:sz w:val="24"/>
        </w:rPr>
        <w:t>2.本办法为本</w:t>
      </w:r>
      <w:r>
        <w:rPr>
          <w:rFonts w:hint="eastAsia" w:ascii="宋体" w:hAnsi="宋体" w:cs="宋体"/>
          <w:sz w:val="24"/>
          <w:lang w:eastAsia="zh-CN"/>
        </w:rPr>
        <w:t>招标</w:t>
      </w:r>
      <w:r>
        <w:rPr>
          <w:rFonts w:hint="eastAsia" w:ascii="宋体" w:hAnsi="宋体" w:cs="宋体"/>
          <w:sz w:val="24"/>
        </w:rPr>
        <w:t>文件的组成部分。</w:t>
      </w:r>
    </w:p>
    <w:p>
      <w:pPr>
        <w:spacing w:line="360" w:lineRule="auto"/>
        <w:rPr>
          <w:rFonts w:ascii="宋体" w:hAnsi="宋体" w:cs="宋体"/>
          <w:sz w:val="24"/>
        </w:rPr>
      </w:pPr>
      <w:r>
        <w:rPr>
          <w:rFonts w:hint="eastAsia" w:ascii="宋体" w:hAnsi="宋体" w:cs="宋体"/>
          <w:sz w:val="24"/>
        </w:rPr>
        <w:t>3.本办法采用随机抽取的方式确定中标人。</w:t>
      </w:r>
    </w:p>
    <w:p>
      <w:pPr>
        <w:spacing w:line="360" w:lineRule="auto"/>
        <w:rPr>
          <w:rFonts w:ascii="宋体" w:hAnsi="宋体" w:cs="宋体"/>
          <w:sz w:val="24"/>
        </w:rPr>
      </w:pPr>
      <w:r>
        <w:rPr>
          <w:rFonts w:hint="eastAsia" w:ascii="宋体" w:hAnsi="宋体" w:cs="宋体"/>
          <w:sz w:val="24"/>
        </w:rPr>
        <w:t>4.评标定标活动遵循公平、公正、公开的原则。</w:t>
      </w:r>
    </w:p>
    <w:p>
      <w:pPr>
        <w:spacing w:line="360" w:lineRule="auto"/>
        <w:rPr>
          <w:rFonts w:ascii="宋体" w:hAnsi="宋体" w:cs="宋体"/>
          <w:sz w:val="24"/>
        </w:rPr>
      </w:pPr>
      <w:r>
        <w:rPr>
          <w:rFonts w:hint="eastAsia" w:ascii="宋体" w:hAnsi="宋体" w:cs="宋体"/>
          <w:sz w:val="24"/>
        </w:rPr>
        <w:t>5.评标定标活动依法进行，任何单位和个人不得非法干预或者影响评标过程和结果。投标人如有采取任何方式干扰评标工作，一经发现即取消投标资格。</w:t>
      </w:r>
    </w:p>
    <w:p>
      <w:pPr>
        <w:spacing w:line="360" w:lineRule="auto"/>
        <w:rPr>
          <w:rFonts w:ascii="宋体" w:hAnsi="宋体" w:cs="宋体"/>
          <w:sz w:val="24"/>
        </w:rPr>
      </w:pPr>
      <w:r>
        <w:rPr>
          <w:rFonts w:hint="eastAsia" w:ascii="宋体" w:hAnsi="宋体" w:cs="宋体"/>
          <w:sz w:val="24"/>
        </w:rPr>
        <w:t>6.评标活动及其当事人应自觉接受依法实施的监督。</w:t>
      </w:r>
    </w:p>
    <w:p>
      <w:pPr>
        <w:spacing w:line="360" w:lineRule="auto"/>
        <w:rPr>
          <w:rFonts w:ascii="宋体" w:hAnsi="宋体" w:cs="宋体"/>
          <w:sz w:val="24"/>
        </w:rPr>
      </w:pPr>
      <w:r>
        <w:rPr>
          <w:rFonts w:hint="eastAsia" w:ascii="宋体" w:hAnsi="宋体" w:cs="宋体"/>
          <w:sz w:val="24"/>
        </w:rPr>
        <w:t>7.本工程评标定标程序：</w:t>
      </w:r>
    </w:p>
    <w:p>
      <w:pPr>
        <w:spacing w:line="360" w:lineRule="auto"/>
        <w:rPr>
          <w:rFonts w:ascii="宋体" w:hAnsi="宋体" w:cs="宋体"/>
          <w:sz w:val="24"/>
        </w:rPr>
      </w:pPr>
      <w:r>
        <w:rPr>
          <w:rFonts w:hint="eastAsia" w:ascii="宋体" w:hAnsi="宋体" w:cs="宋体"/>
          <w:sz w:val="24"/>
        </w:rPr>
        <w:t>7.1依据相关规定组建资格审查委员会；</w:t>
      </w:r>
    </w:p>
    <w:p>
      <w:pPr>
        <w:spacing w:line="360" w:lineRule="auto"/>
        <w:rPr>
          <w:rFonts w:hint="eastAsia" w:ascii="宋体" w:hAnsi="宋体" w:cs="宋体"/>
          <w:sz w:val="24"/>
        </w:rPr>
      </w:pPr>
      <w:r>
        <w:rPr>
          <w:rFonts w:hint="eastAsia" w:ascii="宋体" w:hAnsi="宋体" w:cs="宋体"/>
          <w:sz w:val="24"/>
        </w:rPr>
        <w:t>7.2.</w:t>
      </w:r>
      <w:r>
        <w:rPr>
          <w:rFonts w:hint="eastAsia" w:ascii="宋体" w:hAnsi="宋体" w:cs="宋体"/>
          <w:color w:val="auto"/>
          <w:sz w:val="24"/>
        </w:rPr>
        <w:t xml:space="preserve"> 本项目采用随机抽取法，招标人将现场对资格审查合格的投标人采用随机抽取的方式，确定3名预中标候选人，并按照抽取的顺序依次排名；第一个抽中的为第一中标候选人，以此类推，若投标截止时间后参加投标的只有1家或2家投标人，则重新组织招标。如第一中标候选人有招标文件要求的不予以投标情形的或放弃中标资格的，由第二名中标候选人作为中标人，以此类推。</w:t>
      </w:r>
    </w:p>
    <w:p>
      <w:pPr>
        <w:spacing w:line="360" w:lineRule="auto"/>
        <w:rPr>
          <w:rFonts w:ascii="宋体" w:hAnsi="宋体" w:cs="宋体"/>
          <w:sz w:val="24"/>
        </w:rPr>
      </w:pPr>
      <w:r>
        <w:rPr>
          <w:rFonts w:hint="eastAsia" w:ascii="宋体" w:hAnsi="宋体" w:cs="宋体"/>
          <w:sz w:val="24"/>
        </w:rPr>
        <w:t>7.3.对中标候选人进行公示，公示期为1个工作日；</w:t>
      </w:r>
    </w:p>
    <w:p>
      <w:pPr>
        <w:spacing w:line="360" w:lineRule="auto"/>
        <w:rPr>
          <w:rFonts w:ascii="宋体" w:hAnsi="宋体" w:cs="宋体"/>
          <w:kern w:val="0"/>
          <w:sz w:val="24"/>
          <w:szCs w:val="21"/>
        </w:rPr>
      </w:pPr>
      <w:r>
        <w:rPr>
          <w:rFonts w:hint="eastAsia" w:ascii="宋体" w:hAnsi="宋体" w:cs="宋体"/>
          <w:sz w:val="24"/>
        </w:rPr>
        <w:t>7.4.确定中标人。</w:t>
      </w:r>
    </w:p>
    <w:p>
      <w:pPr>
        <w:pStyle w:val="13"/>
        <w:rPr>
          <w:rFonts w:ascii="宋体" w:hAnsi="宋体" w:cs="宋体"/>
          <w:kern w:val="0"/>
          <w:sz w:val="24"/>
        </w:rPr>
        <w:sectPr>
          <w:footerReference r:id="rId12" w:type="first"/>
          <w:footerReference r:id="rId11" w:type="default"/>
          <w:pgSz w:w="11906" w:h="16838"/>
          <w:pgMar w:top="1440" w:right="1286" w:bottom="1440" w:left="1800" w:header="851" w:footer="992" w:gutter="0"/>
          <w:pgNumType w:fmt="decimal" w:start="1"/>
          <w:cols w:space="720" w:num="1"/>
          <w:titlePg/>
          <w:docGrid w:type="lines" w:linePitch="312" w:charSpace="0"/>
        </w:sectPr>
      </w:pPr>
    </w:p>
    <w:p>
      <w:pPr>
        <w:spacing w:line="440" w:lineRule="exact"/>
        <w:jc w:val="center"/>
        <w:rPr>
          <w:rFonts w:hint="eastAsia" w:ascii="宋体" w:cs="宋体"/>
          <w:b/>
          <w:color w:val="auto"/>
          <w:sz w:val="32"/>
          <w:szCs w:val="32"/>
          <w:highlight w:val="none"/>
        </w:rPr>
      </w:pPr>
      <w:r>
        <w:rPr>
          <w:rFonts w:hint="eastAsia" w:ascii="宋体" w:hAnsi="Times New Roman" w:eastAsia="宋体" w:cs="宋体"/>
          <w:b/>
          <w:color w:val="auto"/>
          <w:sz w:val="32"/>
          <w:szCs w:val="32"/>
          <w:highlight w:val="none"/>
          <w:lang w:val="en-US" w:eastAsia="zh-CN"/>
        </w:rPr>
        <w:t>第五章</w:t>
      </w:r>
      <w:r>
        <w:rPr>
          <w:rFonts w:hint="eastAsia" w:ascii="宋体" w:hAnsi="宋体" w:cs="宋体"/>
          <w:sz w:val="36"/>
          <w:szCs w:val="36"/>
          <w:lang w:val="en-US" w:eastAsia="zh-CN"/>
        </w:rPr>
        <w:t xml:space="preserve"> </w:t>
      </w:r>
      <w:r>
        <w:rPr>
          <w:rFonts w:hint="eastAsia" w:ascii="宋体" w:cs="宋体"/>
          <w:b/>
          <w:color w:val="auto"/>
          <w:sz w:val="32"/>
          <w:szCs w:val="32"/>
          <w:highlight w:val="none"/>
        </w:rPr>
        <w:t>跟踪（结算）审计委托协议</w:t>
      </w:r>
    </w:p>
    <w:p>
      <w:pPr>
        <w:keepNext w:val="0"/>
        <w:keepLines w:val="0"/>
        <w:pageBreakBefore w:val="0"/>
        <w:spacing w:line="42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委托方（甲方）：</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u w:val="single"/>
          <w:lang w:val="en-US" w:eastAsia="zh-CN"/>
        </w:rPr>
        <w:t xml:space="preserve">   </w:t>
      </w:r>
    </w:p>
    <w:p>
      <w:pPr>
        <w:keepNext w:val="0"/>
        <w:keepLines w:val="0"/>
        <w:pageBreakBefore w:val="0"/>
        <w:spacing w:line="4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受托方（乙方）：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keepNext w:val="0"/>
        <w:keepLines w:val="0"/>
        <w:pageBreakBefore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为保证滁州市政府投资项目审计工作质量和效率，依据《中华人民共和国审计法》、《中华人民共和国</w:t>
      </w:r>
      <w:r>
        <w:rPr>
          <w:rFonts w:hint="eastAsia" w:ascii="宋体" w:hAnsi="宋体" w:eastAsia="宋体" w:cs="宋体"/>
          <w:color w:val="auto"/>
          <w:sz w:val="24"/>
          <w:szCs w:val="24"/>
          <w:highlight w:val="none"/>
          <w:lang w:val="en-US" w:eastAsia="zh-CN"/>
        </w:rPr>
        <w:t>民</w:t>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典</w:t>
      </w:r>
      <w:r>
        <w:rPr>
          <w:rFonts w:hint="eastAsia" w:ascii="宋体" w:hAnsi="宋体" w:eastAsia="宋体" w:cs="宋体"/>
          <w:color w:val="auto"/>
          <w:sz w:val="24"/>
          <w:szCs w:val="24"/>
          <w:highlight w:val="none"/>
        </w:rPr>
        <w:t>》、《滁州市政府投资项目管理暂行办法》、《滁州市政府投资建设项目审计监督办法》等有关法律法规，甲、乙双方经协商一致，自愿签订本协议。</w:t>
      </w:r>
    </w:p>
    <w:p>
      <w:pPr>
        <w:keepNext w:val="0"/>
        <w:keepLines w:val="0"/>
        <w:pageBreakBefore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一、跟踪（结算）审计项目</w:t>
      </w:r>
    </w:p>
    <w:p>
      <w:pPr>
        <w:keepNext w:val="0"/>
        <w:keepLines w:val="0"/>
        <w:pageBreakBefore w:val="0"/>
        <w:spacing w:line="42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1.项目名称：</w:t>
      </w:r>
    </w:p>
    <w:p>
      <w:pPr>
        <w:keepNext w:val="0"/>
        <w:keepLines w:val="0"/>
        <w:pageBreakBefore w:val="0"/>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2.项目投资额：</w:t>
      </w:r>
    </w:p>
    <w:p>
      <w:pPr>
        <w:keepNext w:val="0"/>
        <w:keepLines w:val="0"/>
        <w:pageBreakBefore w:val="0"/>
        <w:spacing w:line="42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3.委托内容：</w:t>
      </w:r>
      <w:r>
        <w:rPr>
          <w:rFonts w:hint="eastAsia" w:ascii="宋体" w:hAnsi="宋体" w:cs="宋体"/>
          <w:color w:val="auto"/>
          <w:sz w:val="24"/>
          <w:szCs w:val="24"/>
          <w:highlight w:val="none"/>
          <w:lang w:eastAsia="zh-CN"/>
        </w:rPr>
        <w:t>本项目</w:t>
      </w:r>
      <w:r>
        <w:rPr>
          <w:rFonts w:hint="eastAsia" w:ascii="宋体" w:hAnsi="宋体" w:eastAsia="宋体" w:cs="宋体"/>
          <w:color w:val="auto"/>
          <w:sz w:val="24"/>
          <w:szCs w:val="24"/>
          <w:highlight w:val="none"/>
        </w:rPr>
        <w:t>跟踪审计</w:t>
      </w:r>
      <w:r>
        <w:rPr>
          <w:rFonts w:hint="eastAsia" w:ascii="宋体" w:hAnsi="宋体" w:cs="宋体"/>
          <w:color w:val="auto"/>
          <w:sz w:val="24"/>
          <w:szCs w:val="24"/>
          <w:highlight w:val="none"/>
          <w:lang w:eastAsia="zh-CN"/>
        </w:rPr>
        <w:t>（含结算审计）。</w:t>
      </w:r>
    </w:p>
    <w:p>
      <w:pPr>
        <w:keepNext w:val="0"/>
        <w:keepLines w:val="0"/>
        <w:pageBreakBefore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1.成立项目跟踪（结算）审计组，编制跟踪（结算）审计实施方案，确定控制目标、重点环节及应对措施； </w:t>
      </w:r>
    </w:p>
    <w:p>
      <w:pPr>
        <w:keepNext w:val="0"/>
        <w:keepLines w:val="0"/>
        <w:pageBreakBefore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2.审核项目前期资料（</w:t>
      </w:r>
      <w:r>
        <w:rPr>
          <w:rFonts w:ascii="宋体" w:hAnsi="宋体" w:eastAsia="宋体" w:cs="宋体"/>
          <w:b/>
          <w:color w:val="auto"/>
          <w:sz w:val="24"/>
          <w:szCs w:val="24"/>
          <w:highlight w:val="none"/>
        </w:rPr>
        <w:t>招标投标文件、合同等</w:t>
      </w:r>
      <w:r>
        <w:rPr>
          <w:rFonts w:ascii="宋体" w:hAnsi="宋体" w:eastAsia="宋体" w:cs="宋体"/>
          <w:color w:val="auto"/>
          <w:sz w:val="24"/>
          <w:szCs w:val="24"/>
          <w:highlight w:val="none"/>
        </w:rPr>
        <w:t>），向甲方提交审核结果；</w:t>
      </w:r>
    </w:p>
    <w:p>
      <w:pPr>
        <w:keepNext w:val="0"/>
        <w:keepLines w:val="0"/>
        <w:pageBreakBefore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3.对承包方上报的请款期已完成合格的计量、计价进行审核，并提供按形象进度付款的意见、建议；</w:t>
      </w:r>
    </w:p>
    <w:p>
      <w:pPr>
        <w:keepNext w:val="0"/>
        <w:keepLines w:val="0"/>
        <w:pageBreakBefore w:val="0"/>
        <w:spacing w:line="42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ascii="宋体" w:hAnsi="宋体" w:eastAsia="宋体" w:cs="宋体"/>
          <w:color w:val="auto"/>
          <w:sz w:val="24"/>
          <w:szCs w:val="24"/>
        </w:rPr>
        <w:t>及时核定分阶段完工的项目分部、分项</w:t>
      </w:r>
      <w:r>
        <w:rPr>
          <w:rFonts w:ascii="宋体" w:hAnsi="宋体" w:eastAsia="宋体" w:cs="宋体"/>
          <w:color w:val="auto"/>
          <w:sz w:val="24"/>
          <w:szCs w:val="24"/>
          <w:lang w:eastAsia="zh-CN"/>
        </w:rPr>
        <w:t>合同价款</w:t>
      </w:r>
      <w:r>
        <w:rPr>
          <w:rFonts w:ascii="宋体" w:hAnsi="宋体" w:eastAsia="宋体" w:cs="宋体"/>
          <w:color w:val="auto"/>
          <w:sz w:val="24"/>
          <w:szCs w:val="24"/>
        </w:rPr>
        <w:t>结算，项目</w:t>
      </w:r>
      <w:r>
        <w:rPr>
          <w:rFonts w:ascii="宋体" w:hAnsi="宋体" w:eastAsia="宋体" w:cs="宋体"/>
          <w:color w:val="auto"/>
          <w:sz w:val="24"/>
          <w:szCs w:val="24"/>
          <w:lang w:eastAsia="zh-CN"/>
        </w:rPr>
        <w:t>完成</w:t>
      </w:r>
      <w:r>
        <w:rPr>
          <w:rFonts w:ascii="宋体" w:hAnsi="宋体" w:eastAsia="宋体" w:cs="宋体"/>
          <w:color w:val="auto"/>
          <w:sz w:val="24"/>
          <w:szCs w:val="24"/>
        </w:rPr>
        <w:t>后，及时提交完整的</w:t>
      </w:r>
      <w:r>
        <w:rPr>
          <w:rFonts w:ascii="宋体" w:hAnsi="宋体" w:eastAsia="宋体" w:cs="宋体"/>
          <w:color w:val="auto"/>
          <w:sz w:val="24"/>
          <w:szCs w:val="24"/>
          <w:lang w:eastAsia="zh-CN"/>
        </w:rPr>
        <w:t>结算审计</w:t>
      </w:r>
      <w:r>
        <w:rPr>
          <w:rFonts w:ascii="宋体" w:hAnsi="宋体" w:eastAsia="宋体" w:cs="宋体"/>
          <w:color w:val="auto"/>
          <w:sz w:val="24"/>
          <w:szCs w:val="24"/>
        </w:rPr>
        <w:t>报告；</w:t>
      </w:r>
    </w:p>
    <w:p>
      <w:pPr>
        <w:keepNext w:val="0"/>
        <w:keepLines w:val="0"/>
        <w:pageBreakBefore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5.协助甲方及时审核设计变更、经济签证等发生的费用，超过一定限额的，提请甲方履行报批程序；</w:t>
      </w:r>
    </w:p>
    <w:p>
      <w:pPr>
        <w:keepNext w:val="0"/>
        <w:keepLines w:val="0"/>
        <w:pageBreakBefore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6.项目发生</w:t>
      </w:r>
      <w:r>
        <w:rPr>
          <w:rFonts w:hint="eastAsia" w:ascii="宋体" w:hAnsi="宋体" w:eastAsia="宋体" w:cs="宋体"/>
          <w:color w:val="auto"/>
          <w:sz w:val="24"/>
          <w:szCs w:val="24"/>
          <w:highlight w:val="none"/>
          <w:lang w:eastAsia="zh-CN"/>
        </w:rPr>
        <w:t>合同价款</w:t>
      </w:r>
      <w:r>
        <w:rPr>
          <w:rFonts w:hint="eastAsia" w:ascii="宋体" w:hAnsi="宋体" w:eastAsia="宋体" w:cs="宋体"/>
          <w:color w:val="auto"/>
          <w:sz w:val="24"/>
          <w:szCs w:val="24"/>
          <w:highlight w:val="none"/>
        </w:rPr>
        <w:t>结算争议时，为甲方提供咨询意见；</w:t>
      </w:r>
    </w:p>
    <w:p>
      <w:pPr>
        <w:keepNext w:val="0"/>
        <w:keepLines w:val="0"/>
        <w:pageBreakBefore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7.参与项目有关会议，对项目有关事项发表独立审计意见； </w:t>
      </w:r>
    </w:p>
    <w:p>
      <w:pPr>
        <w:keepNext w:val="0"/>
        <w:keepLines w:val="0"/>
        <w:pageBreakBefore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8.其他与项目相关的工作。</w:t>
      </w:r>
    </w:p>
    <w:p>
      <w:pPr>
        <w:keepNext w:val="0"/>
        <w:keepLines w:val="0"/>
        <w:pageBreakBefore w:val="0"/>
        <w:spacing w:line="420" w:lineRule="exact"/>
        <w:ind w:firstLine="48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、项目跟踪（结算）审计制度及相关要求</w:t>
      </w:r>
    </w:p>
    <w:p>
      <w:pPr>
        <w:keepNext w:val="0"/>
        <w:keepLines w:val="0"/>
        <w:pageBreakBefore w:val="0"/>
        <w:spacing w:line="42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1.滁州市政府投资项目审计“八不准制度”</w:t>
      </w:r>
      <w:r>
        <w:rPr>
          <w:rFonts w:hint="eastAsia" w:ascii="宋体" w:hAnsi="宋体" w:eastAsia="宋体" w:cs="宋体"/>
          <w:color w:val="auto"/>
          <w:sz w:val="24"/>
          <w:szCs w:val="24"/>
          <w:highlight w:val="none"/>
          <w:lang w:eastAsia="zh-CN"/>
        </w:rPr>
        <w:t>；</w:t>
      </w:r>
    </w:p>
    <w:p>
      <w:pPr>
        <w:keepNext w:val="0"/>
        <w:keepLines w:val="0"/>
        <w:pageBreakBefore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2.滁州市政府投资项目结算审计结果备案制度；</w:t>
      </w:r>
    </w:p>
    <w:p>
      <w:pPr>
        <w:keepNext w:val="0"/>
        <w:keepLines w:val="0"/>
        <w:pageBreakBefore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3.滁州市建设项目施工阶段全过程造价控制管理暂行办法；</w:t>
      </w:r>
    </w:p>
    <w:p>
      <w:pPr>
        <w:keepNext w:val="0"/>
        <w:keepLines w:val="0"/>
        <w:pageBreakBefore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4.实行定期、分段报告制度。乙方应及时提交项目前期资料审核结果、跟踪（结算）审计月报、</w:t>
      </w:r>
      <w:r>
        <w:rPr>
          <w:rFonts w:hint="eastAsia" w:ascii="宋体" w:hAnsi="宋体" w:eastAsia="宋体" w:cs="宋体"/>
          <w:color w:val="auto"/>
          <w:sz w:val="24"/>
          <w:szCs w:val="24"/>
          <w:highlight w:val="none"/>
          <w:lang w:eastAsia="zh-CN"/>
        </w:rPr>
        <w:t>结算审计</w:t>
      </w:r>
      <w:r>
        <w:rPr>
          <w:rFonts w:hint="eastAsia" w:ascii="宋体" w:hAnsi="宋体" w:eastAsia="宋体" w:cs="宋体"/>
          <w:color w:val="auto"/>
          <w:sz w:val="24"/>
          <w:szCs w:val="24"/>
          <w:highlight w:val="none"/>
        </w:rPr>
        <w:t>报告；</w:t>
      </w:r>
    </w:p>
    <w:p>
      <w:pPr>
        <w:keepNext w:val="0"/>
        <w:keepLines w:val="0"/>
        <w:pageBreakBefore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5.加强对项目变更事项的合理性、经济性审核。对涉及</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造价的重大事项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须及时书面报告甲方，否则结算不予审核备案，由此造成的后果由乙方承担；</w:t>
      </w:r>
    </w:p>
    <w:p>
      <w:pPr>
        <w:keepNext w:val="0"/>
        <w:keepLines w:val="0"/>
        <w:pageBreakBefore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6.协助甲方完成项目投资控制的各项工作，接受甲方的项目现场管理。</w:t>
      </w:r>
    </w:p>
    <w:p>
      <w:pPr>
        <w:keepNext w:val="0"/>
        <w:keepLines w:val="0"/>
        <w:pageBreakBefore w:val="0"/>
        <w:spacing w:line="420" w:lineRule="exact"/>
        <w:ind w:firstLine="48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三、项目跟踪（结算）审计组及人员配备要求</w:t>
      </w:r>
    </w:p>
    <w:p>
      <w:pPr>
        <w:keepNext w:val="0"/>
        <w:keepLines w:val="0"/>
        <w:pageBreakBefore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1.乙方须成立项目跟踪（结算）审计组，配备相应数量具有相关专业执业资质的审计人员。本项目审计组负责人为</w:t>
      </w:r>
      <w:r>
        <w:rPr>
          <w:rFonts w:hint="eastAsia" w:ascii="宋体" w:hAnsi="宋体" w:eastAsia="宋体" w:cs="宋体"/>
          <w:color w:val="auto"/>
          <w:sz w:val="24"/>
          <w:szCs w:val="24"/>
          <w:highlight w:val="none"/>
          <w:u w:val="single"/>
        </w:rPr>
        <w:t>姓名、注册造价师证书号、联系电话</w:t>
      </w:r>
      <w:r>
        <w:rPr>
          <w:rFonts w:hint="eastAsia" w:ascii="宋体" w:hAnsi="宋体" w:eastAsia="宋体" w:cs="宋体"/>
          <w:color w:val="auto"/>
          <w:sz w:val="24"/>
          <w:szCs w:val="24"/>
          <w:highlight w:val="none"/>
        </w:rPr>
        <w:t>，成员为</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u w:val="single"/>
          <w:lang w:val="en-US" w:eastAsia="zh-CN"/>
        </w:rPr>
        <w:t>造价师</w:t>
      </w:r>
      <w:r>
        <w:rPr>
          <w:rFonts w:hint="eastAsia" w:ascii="宋体" w:hAnsi="宋体" w:eastAsia="宋体" w:cs="宋体"/>
          <w:color w:val="auto"/>
          <w:sz w:val="24"/>
          <w:szCs w:val="24"/>
          <w:highlight w:val="none"/>
          <w:u w:val="single"/>
        </w:rPr>
        <w:t>证书号、联系电话（现场负责人）</w:t>
      </w:r>
      <w:r>
        <w:rPr>
          <w:rFonts w:hint="eastAsia" w:ascii="宋体" w:hAnsi="宋体" w:eastAsia="宋体" w:cs="宋体"/>
          <w:color w:val="auto"/>
          <w:sz w:val="24"/>
          <w:szCs w:val="24"/>
          <w:highlight w:val="none"/>
        </w:rPr>
        <w:t>；</w:t>
      </w:r>
    </w:p>
    <w:p>
      <w:pPr>
        <w:keepNext w:val="0"/>
        <w:keepLines w:val="0"/>
        <w:pageBreakBefore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2.项目审计人员须服从甲方的工作安排，未经甲方许可，乙方不得随意更换、调整审计组人员。</w:t>
      </w:r>
    </w:p>
    <w:p>
      <w:pPr>
        <w:pStyle w:val="24"/>
        <w:keepNext w:val="0"/>
        <w:keepLines w:val="0"/>
        <w:pageBreakBefore w:val="0"/>
        <w:spacing w:before="0" w:beforeAutospacing="0" w:after="0" w:afterAutospacing="0" w:line="420" w:lineRule="exact"/>
        <w:ind w:firstLine="48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bidi="ar-SA"/>
        </w:rPr>
        <w:t>四、项目跟踪（结算）审计质量要求</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1.甲方对乙方出具的项目跟踪审计、</w:t>
      </w:r>
      <w:r>
        <w:rPr>
          <w:rFonts w:hint="eastAsia" w:ascii="宋体" w:hAnsi="宋体" w:eastAsia="宋体" w:cs="宋体"/>
          <w:color w:val="auto"/>
          <w:sz w:val="24"/>
          <w:szCs w:val="24"/>
          <w:highlight w:val="none"/>
          <w:lang w:eastAsia="zh-CN"/>
        </w:rPr>
        <w:t>结算审计</w:t>
      </w:r>
      <w:r>
        <w:rPr>
          <w:rFonts w:hint="eastAsia" w:ascii="宋体" w:hAnsi="宋体" w:eastAsia="宋体" w:cs="宋体"/>
          <w:color w:val="auto"/>
          <w:sz w:val="24"/>
          <w:szCs w:val="24"/>
          <w:highlight w:val="none"/>
        </w:rPr>
        <w:t>服务费根据市财政造价审核中心审核或第三方复审或综合计划科复核结果进行浮动：</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审核结果误差率在</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%以内（含），可按照委托协议约定收取相关费用；</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审核结果误差在</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%（含）之间，费用扣除</w:t>
      </w:r>
      <w:r>
        <w:rPr>
          <w:rFonts w:hint="eastAsia" w:ascii="宋体" w:hAnsi="宋体" w:eastAsia="宋体" w:cs="宋体"/>
          <w:color w:val="auto"/>
          <w:sz w:val="24"/>
          <w:szCs w:val="24"/>
          <w:highlight w:val="none"/>
          <w:lang w:eastAsia="zh-CN"/>
        </w:rPr>
        <w:t>10</w:t>
      </w:r>
      <w:r>
        <w:rPr>
          <w:rFonts w:hint="eastAsia" w:ascii="宋体" w:hAnsi="宋体" w:eastAsia="宋体" w:cs="宋体"/>
          <w:color w:val="auto"/>
          <w:sz w:val="24"/>
          <w:szCs w:val="24"/>
          <w:highlight w:val="none"/>
        </w:rPr>
        <w:t>%；</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审核结果误差在</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%（含）之间，费用扣除</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rPr>
        <w:t>%；</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审核结果误差超过</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 全额扣除该项目服务费</w:t>
      </w:r>
      <w:r>
        <w:rPr>
          <w:rFonts w:hint="eastAsia" w:ascii="宋体" w:hAnsi="宋体" w:eastAsia="宋体" w:cs="宋体"/>
          <w:color w:val="auto"/>
          <w:sz w:val="24"/>
          <w:szCs w:val="24"/>
          <w:highlight w:val="none"/>
          <w:lang w:eastAsia="zh-CN"/>
        </w:rPr>
        <w:t>。</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2.若乙方出现无证人员执业、挂靠执业、执业人员不到岗等违反相关</w:t>
      </w:r>
      <w:r>
        <w:rPr>
          <w:rFonts w:hint="eastAsia" w:ascii="宋体" w:hAnsi="宋体" w:eastAsia="宋体" w:cs="宋体"/>
          <w:color w:val="auto"/>
          <w:sz w:val="24"/>
          <w:szCs w:val="24"/>
          <w:highlight w:val="none"/>
          <w:lang w:eastAsia="zh-CN"/>
        </w:rPr>
        <w:t>法规的，将按相关法规进行处罚，直至</w:t>
      </w:r>
      <w:r>
        <w:rPr>
          <w:rFonts w:hint="eastAsia" w:ascii="宋体" w:hAnsi="宋体" w:eastAsia="宋体" w:cs="宋体"/>
          <w:color w:val="auto"/>
          <w:sz w:val="24"/>
          <w:szCs w:val="24"/>
          <w:highlight w:val="none"/>
        </w:rPr>
        <w:t>终止委托审计业务</w:t>
      </w:r>
      <w:r>
        <w:rPr>
          <w:rFonts w:hint="eastAsia" w:ascii="宋体" w:hAnsi="宋体" w:eastAsia="宋体" w:cs="宋体"/>
          <w:color w:val="auto"/>
          <w:sz w:val="24"/>
          <w:szCs w:val="24"/>
          <w:highlight w:val="none"/>
          <w:lang w:eastAsia="zh-CN"/>
        </w:rPr>
        <w:t>。</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3.若协审机构出现违背行业准则，被国家司法、纪检、检察、公安、建设行政主管部门等查处的，一经发现，招标人将清除其出政府投资项目审计协审机构备选库。</w:t>
      </w:r>
    </w:p>
    <w:p>
      <w:pPr>
        <w:pStyle w:val="24"/>
        <w:keepNext w:val="0"/>
        <w:keepLines w:val="0"/>
        <w:pageBreakBefore w:val="0"/>
        <w:spacing w:before="0" w:beforeAutospacing="0" w:after="0" w:afterAutospacing="0" w:line="420" w:lineRule="exact"/>
        <w:ind w:firstLine="48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bidi="ar-SA"/>
        </w:rPr>
        <w:t>五、项目跟踪（结算）审计服务费用标准及结算方式</w:t>
      </w:r>
    </w:p>
    <w:p>
      <w:pPr>
        <w:keepNext w:val="0"/>
        <w:keepLines w:val="0"/>
        <w:pageBreakBefore w:val="0"/>
        <w:spacing w:line="420" w:lineRule="exact"/>
        <w:ind w:left="0" w:firstLine="48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1.1项目跟踪审计服务费标准</w:t>
      </w:r>
      <w:r>
        <w:rPr>
          <w:rFonts w:hint="eastAsia" w:ascii="宋体" w:hAnsi="宋体" w:cs="宋体"/>
          <w:b/>
          <w:bCs/>
          <w:color w:val="auto"/>
          <w:sz w:val="24"/>
          <w:szCs w:val="24"/>
          <w:highlight w:val="none"/>
          <w:lang w:eastAsia="zh-CN"/>
        </w:rPr>
        <w:t>：</w:t>
      </w:r>
      <w:r>
        <w:rPr>
          <w:rFonts w:hint="eastAsia" w:ascii="宋体" w:hAnsi="宋体" w:cs="宋体"/>
          <w:b/>
          <w:bCs/>
          <w:color w:val="auto"/>
          <w:kern w:val="0"/>
          <w:sz w:val="24"/>
        </w:rPr>
        <w:t>固定费用</w:t>
      </w:r>
      <w:r>
        <w:rPr>
          <w:rFonts w:hint="eastAsia" w:ascii="宋体" w:hAnsi="宋体" w:cs="宋体"/>
          <w:b/>
          <w:bCs/>
          <w:color w:val="auto"/>
          <w:kern w:val="0"/>
          <w:sz w:val="24"/>
          <w:lang w:val="en-US" w:eastAsia="zh-CN"/>
        </w:rPr>
        <w:t>10.0</w:t>
      </w:r>
      <w:r>
        <w:rPr>
          <w:rFonts w:hint="eastAsia" w:ascii="宋体" w:hAnsi="宋体" w:cs="宋体"/>
          <w:b/>
          <w:bCs/>
          <w:color w:val="auto"/>
          <w:kern w:val="0"/>
          <w:sz w:val="24"/>
        </w:rPr>
        <w:t>万元</w:t>
      </w:r>
      <w:r>
        <w:rPr>
          <w:rFonts w:hint="eastAsia" w:ascii="宋体" w:hAnsi="宋体" w:cs="宋体"/>
          <w:b/>
          <w:bCs/>
          <w:color w:val="auto"/>
          <w:kern w:val="0"/>
          <w:sz w:val="24"/>
          <w:lang w:val="en-US" w:eastAsia="zh-CN"/>
        </w:rPr>
        <w:t>整。</w:t>
      </w:r>
    </w:p>
    <w:p>
      <w:pPr>
        <w:pStyle w:val="24"/>
        <w:keepNext w:val="0"/>
        <w:keepLines w:val="0"/>
        <w:pageBreakBefore w:val="0"/>
        <w:spacing w:before="0" w:beforeAutospacing="0" w:after="0" w:afterAutospacing="0" w:line="420" w:lineRule="exact"/>
        <w:ind w:firstLine="480"/>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造价审减率超过</w:t>
      </w:r>
      <w:r>
        <w:rPr>
          <w:rFonts w:hint="eastAsia" w:ascii="宋体" w:hAnsi="宋体" w:eastAsia="宋体" w:cs="宋体"/>
          <w:b/>
          <w:bCs/>
          <w:color w:val="auto"/>
          <w:sz w:val="24"/>
          <w:szCs w:val="24"/>
          <w:highlight w:val="none"/>
          <w:lang w:eastAsia="zh-CN"/>
        </w:rPr>
        <w:t>10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时</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将对施工单位进行处罚，处罚金额具体为</w:t>
      </w:r>
      <w:r>
        <w:rPr>
          <w:rFonts w:hint="eastAsia" w:ascii="宋体" w:hAnsi="宋体" w:eastAsia="宋体" w:cs="宋体"/>
          <w:b/>
          <w:bCs/>
          <w:color w:val="auto"/>
          <w:sz w:val="24"/>
          <w:szCs w:val="24"/>
          <w:highlight w:val="none"/>
        </w:rPr>
        <w:t>审减率</w:t>
      </w:r>
      <w:r>
        <w:rPr>
          <w:rFonts w:hint="eastAsia" w:ascii="宋体" w:hAnsi="宋体" w:eastAsia="宋体" w:cs="宋体"/>
          <w:b/>
          <w:bCs/>
          <w:color w:val="auto"/>
          <w:sz w:val="24"/>
          <w:szCs w:val="24"/>
          <w:highlight w:val="none"/>
          <w:lang w:eastAsia="zh-CN"/>
        </w:rPr>
        <w:t>超出</w:t>
      </w:r>
      <w:r>
        <w:rPr>
          <w:rFonts w:hint="eastAsia" w:ascii="宋体" w:hAnsi="宋体" w:eastAsia="宋体" w:cs="宋体"/>
          <w:b/>
          <w:bCs/>
          <w:color w:val="auto"/>
          <w:sz w:val="24"/>
          <w:szCs w:val="24"/>
          <w:highlight w:val="none"/>
          <w:lang w:val="en-US" w:eastAsia="zh-CN"/>
        </w:rPr>
        <w:t>10%以上的报送价格的4%</w:t>
      </w:r>
      <w:r>
        <w:rPr>
          <w:rFonts w:hint="eastAsia" w:ascii="宋体" w:hAnsi="宋体" w:eastAsia="宋体" w:cs="宋体"/>
          <w:b/>
          <w:bCs/>
          <w:color w:val="auto"/>
          <w:sz w:val="24"/>
          <w:szCs w:val="24"/>
          <w:highlight w:val="none"/>
        </w:rPr>
        <w:t>。</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2.项目跟踪（结算）审计费用结算方式</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（1）项目协审机构须按照《建设</w:t>
      </w:r>
      <w:r>
        <w:rPr>
          <w:rFonts w:hint="eastAsia" w:ascii="宋体" w:hAnsi="宋体" w:eastAsia="宋体" w:cs="宋体"/>
          <w:color w:val="auto"/>
          <w:sz w:val="24"/>
          <w:szCs w:val="24"/>
          <w:highlight w:val="none"/>
          <w:lang w:eastAsia="zh-CN"/>
        </w:rPr>
        <w:t>合同价款</w:t>
      </w:r>
      <w:r>
        <w:rPr>
          <w:rFonts w:hint="eastAsia" w:ascii="宋体" w:hAnsi="宋体" w:eastAsia="宋体" w:cs="宋体"/>
          <w:color w:val="auto"/>
          <w:sz w:val="24"/>
          <w:szCs w:val="24"/>
          <w:highlight w:val="none"/>
        </w:rPr>
        <w:t>结算暂行办法》（财建﹝2004﹞369 号）规定的时限内完成该项目协审工作，出具审核报告，交付</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初审确认，</w:t>
      </w:r>
      <w:r>
        <w:rPr>
          <w:rFonts w:hint="eastAsia" w:cs="宋体"/>
          <w:color w:val="auto"/>
          <w:sz w:val="24"/>
          <w:szCs w:val="24"/>
          <w:highlight w:val="none"/>
          <w:lang w:eastAsia="zh-CN"/>
        </w:rPr>
        <w:t>并经甲方</w:t>
      </w:r>
      <w:r>
        <w:rPr>
          <w:rFonts w:hint="eastAsia" w:ascii="宋体" w:hAnsi="宋体" w:eastAsia="宋体" w:cs="宋体"/>
          <w:color w:val="auto"/>
          <w:sz w:val="24"/>
          <w:szCs w:val="24"/>
          <w:highlight w:val="none"/>
        </w:rPr>
        <w:t>备案审查通过后</w:t>
      </w:r>
      <w:r>
        <w:rPr>
          <w:rFonts w:hint="eastAsia" w:eastAsia="宋体" w:cs="宋体"/>
          <w:color w:val="auto"/>
          <w:sz w:val="24"/>
          <w:szCs w:val="24"/>
          <w:highlight w:val="none"/>
          <w:lang w:eastAsia="zh-CN"/>
        </w:rPr>
        <w:t>，</w:t>
      </w:r>
      <w:r>
        <w:rPr>
          <w:rFonts w:hint="eastAsia" w:ascii="宋体" w:hAnsi="宋体" w:eastAsia="宋体" w:cs="宋体"/>
          <w:color w:val="auto"/>
          <w:sz w:val="24"/>
          <w:szCs w:val="24"/>
          <w:highlight w:val="none"/>
        </w:rPr>
        <w:t>支付审计服务费用</w:t>
      </w:r>
      <w:r>
        <w:rPr>
          <w:rFonts w:hint="eastAsia" w:ascii="宋体" w:hAnsi="宋体" w:eastAsia="宋体" w:cs="宋体"/>
          <w:color w:val="auto"/>
          <w:sz w:val="24"/>
          <w:szCs w:val="24"/>
          <w:highlight w:val="none"/>
          <w:lang w:eastAsia="zh-CN"/>
        </w:rPr>
        <w:t>。</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（2）项目协审机构未按要求完成协审工作并移交相关资料，招标人有权拒付审计服务费用，并按照《政府投资项目协审机构审计质量考核办法》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滁重〔2020〕61号关于印发《造价咨询服务管理办法(试行)》通知</w:t>
      </w:r>
      <w:r>
        <w:rPr>
          <w:rFonts w:hint="eastAsia" w:ascii="宋体" w:hAnsi="宋体" w:eastAsia="宋体" w:cs="宋体"/>
          <w:color w:val="auto"/>
          <w:sz w:val="24"/>
          <w:szCs w:val="24"/>
          <w:highlight w:val="none"/>
        </w:rPr>
        <w:t>的有关规定追究该项目协审机构相关责任。</w:t>
      </w:r>
    </w:p>
    <w:p>
      <w:pPr>
        <w:pStyle w:val="24"/>
        <w:keepNext w:val="0"/>
        <w:keepLines w:val="0"/>
        <w:pageBreakBefore w:val="0"/>
        <w:spacing w:before="0" w:beforeAutospacing="0" w:after="0" w:afterAutospacing="0" w:line="420" w:lineRule="exact"/>
        <w:ind w:firstLine="482"/>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六、审计质量、时限及过程管理要求</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协审机构应</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规定的工作日内完成审核工作，不得无故拖延时间。</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协审机构在协审过程须遵守招标人制定的《政府投资项目协审机构审计质量考核办法》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滁重〔2020〕61号关于印发《造价咨询服务管理办法(试行)》的通知</w:t>
      </w:r>
      <w:r>
        <w:rPr>
          <w:rFonts w:hint="eastAsia" w:ascii="宋体" w:hAnsi="宋体" w:eastAsia="宋体" w:cs="宋体"/>
          <w:color w:val="auto"/>
          <w:sz w:val="24"/>
          <w:szCs w:val="24"/>
          <w:highlight w:val="none"/>
        </w:rPr>
        <w:t>以及为提升审计质量和效率、控制廉政风险等方面制定的各项规定。</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经核实，乙方有下列情形之一的，可扣减审计服务费用，终止审计委托协议，提请行政主管部门给予警告、通报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有限期或无限期禁止从事我</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项目审计工作等处罚</w:t>
      </w:r>
      <w:r>
        <w:rPr>
          <w:rFonts w:hint="eastAsia" w:ascii="宋体" w:hAnsi="宋体" w:eastAsia="宋体" w:cs="宋体"/>
          <w:color w:val="auto"/>
          <w:sz w:val="24"/>
          <w:szCs w:val="24"/>
          <w:highlight w:val="none"/>
          <w:lang w:eastAsia="zh-CN"/>
        </w:rPr>
        <w:t>，构成犯罪的，依法追究刑事责任</w:t>
      </w:r>
      <w:r>
        <w:rPr>
          <w:rFonts w:hint="eastAsia" w:ascii="宋体" w:hAnsi="宋体" w:eastAsia="宋体" w:cs="宋体"/>
          <w:color w:val="auto"/>
          <w:sz w:val="24"/>
          <w:szCs w:val="24"/>
          <w:highlight w:val="none"/>
        </w:rPr>
        <w:t>：</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结算审计</w:t>
      </w:r>
      <w:r>
        <w:rPr>
          <w:rFonts w:hint="eastAsia" w:ascii="宋体" w:hAnsi="宋体" w:eastAsia="宋体" w:cs="宋体"/>
          <w:color w:val="auto"/>
          <w:sz w:val="24"/>
          <w:szCs w:val="24"/>
          <w:highlight w:val="none"/>
        </w:rPr>
        <w:t>报告存在重大失误或质量低劣；</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）因自身工作错误或过失造成重大损失；</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）未经允许私自向施工单位透露审核情况或信息；</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）向相关单位或个人索要财物等谋取不正当利益；</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）单独或与其他各方串通舞弊、弄虚作假虚增；</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）其他违反法律法规和政策的行为。</w:t>
      </w:r>
    </w:p>
    <w:p>
      <w:pPr>
        <w:pStyle w:val="24"/>
        <w:keepNext w:val="0"/>
        <w:keepLines w:val="0"/>
        <w:pageBreakBefore w:val="0"/>
        <w:spacing w:before="0" w:beforeAutospacing="0" w:after="0" w:afterAutospacing="0" w:line="420" w:lineRule="exact"/>
        <w:ind w:firstLine="48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、甲乙双方的权利和义务</w:t>
      </w:r>
      <w:r>
        <w:rPr>
          <w:rFonts w:hint="eastAsia" w:ascii="宋体" w:hAnsi="宋体" w:eastAsia="宋体" w:cs="宋体"/>
          <w:color w:val="auto"/>
          <w:sz w:val="24"/>
          <w:szCs w:val="24"/>
          <w:highlight w:val="none"/>
        </w:rPr>
        <w:t xml:space="preserve"> </w:t>
      </w:r>
    </w:p>
    <w:p>
      <w:pPr>
        <w:pStyle w:val="24"/>
        <w:keepNext w:val="0"/>
        <w:keepLines w:val="0"/>
        <w:pageBreakBefore w:val="0"/>
        <w:widowControl/>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1.甲方权利和义务 </w:t>
      </w:r>
    </w:p>
    <w:p>
      <w:pPr>
        <w:pStyle w:val="24"/>
        <w:keepNext w:val="0"/>
        <w:keepLines w:val="0"/>
        <w:pageBreakBefore w:val="0"/>
        <w:widowControl/>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（1）甲方有权对乙方的跟踪（结算）审计项目实施监督，配合市跟审办对乙方审计工作程序、质量和效率等进行检查考核，考核结果作为奖惩和参与政府投资项目跟踪（结算）审计的重要依据；</w:t>
      </w:r>
    </w:p>
    <w:p>
      <w:pPr>
        <w:pStyle w:val="24"/>
        <w:keepNext w:val="0"/>
        <w:keepLines w:val="0"/>
        <w:pageBreakBefore w:val="0"/>
        <w:widowControl/>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（2）项目跟踪（结算）审计过程中，甲方如发现乙方所派审计人员不符合要求或不能胜任岗位工作职责的，甲方有权要求乙方及时调换，或视情况给予相应的处理、处罚；</w:t>
      </w:r>
    </w:p>
    <w:p>
      <w:pPr>
        <w:pStyle w:val="24"/>
        <w:keepNext w:val="0"/>
        <w:keepLines w:val="0"/>
        <w:pageBreakBefore w:val="0"/>
        <w:widowControl/>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2.乙方权利和义务</w:t>
      </w:r>
    </w:p>
    <w:p>
      <w:pPr>
        <w:pStyle w:val="24"/>
        <w:keepNext w:val="0"/>
        <w:keepLines w:val="0"/>
        <w:pageBreakBefore w:val="0"/>
        <w:widowControl/>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（1）乙方在完成审计任务后，有权及时取得审计服务费用；</w:t>
      </w:r>
    </w:p>
    <w:p>
      <w:pPr>
        <w:pStyle w:val="24"/>
        <w:keepNext w:val="0"/>
        <w:keepLines w:val="0"/>
        <w:pageBreakBefore w:val="0"/>
        <w:widowControl/>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（2）乙方须依照甲方工作要求及行业准则、规范，按时、保质、保量完成所承担的审计任务；</w:t>
      </w:r>
    </w:p>
    <w:p>
      <w:pPr>
        <w:pStyle w:val="24"/>
        <w:keepNext w:val="0"/>
        <w:keepLines w:val="0"/>
        <w:pageBreakBefore w:val="0"/>
        <w:widowControl/>
        <w:spacing w:before="0" w:beforeAutospacing="0" w:after="0" w:afterAutospacing="0" w:line="42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（3）乙方必须对审计人员进行廉政教育，如发现有违反廉洁自律规定的行为，应立即更换人员，并对其严肃处理。同时，甲方可根据性质及情节，扣减相应审计服务费用</w:t>
      </w:r>
      <w:r>
        <w:rPr>
          <w:rFonts w:hint="eastAsia" w:ascii="宋体" w:hAnsi="宋体" w:eastAsia="宋体" w:cs="宋体"/>
          <w:color w:val="auto"/>
          <w:sz w:val="24"/>
          <w:szCs w:val="24"/>
          <w:highlight w:val="none"/>
          <w:lang w:eastAsia="zh-CN"/>
        </w:rPr>
        <w:t>。</w:t>
      </w:r>
    </w:p>
    <w:p>
      <w:pPr>
        <w:pStyle w:val="24"/>
        <w:keepNext w:val="0"/>
        <w:keepLines w:val="0"/>
        <w:pageBreakBefore w:val="0"/>
        <w:widowControl/>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3、双方权力和责任</w:t>
      </w:r>
    </w:p>
    <w:p>
      <w:pPr>
        <w:pStyle w:val="24"/>
        <w:keepNext w:val="0"/>
        <w:keepLines w:val="0"/>
        <w:pageBreakBefore w:val="0"/>
        <w:widowControl/>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招标人有权进行现场调查和监督，随时调阅有关资料，参与审计的查证、对账和答疑等有关活动。若协审机构未按委托协议完成业务或审计工作中出现严重差错，招标人有权追究协审机构法律和经济责任，并视情节扣减部分或全部审计服务费用，直至终止委托关系。</w:t>
      </w:r>
    </w:p>
    <w:p>
      <w:pPr>
        <w:pStyle w:val="24"/>
        <w:keepNext w:val="0"/>
        <w:keepLines w:val="0"/>
        <w:pageBreakBefore w:val="0"/>
        <w:widowControl/>
        <w:spacing w:before="0" w:beforeAutospacing="0" w:after="0" w:afterAutospacing="0" w:line="42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 招标人监督协议的执行，协调和处理履约过程中的问题，对协审机构审计工作开展情况进行考核</w:t>
      </w:r>
      <w:r>
        <w:rPr>
          <w:rFonts w:hint="eastAsia" w:ascii="宋体" w:hAnsi="宋体" w:eastAsia="宋体" w:cs="宋体"/>
          <w:color w:val="auto"/>
          <w:sz w:val="24"/>
          <w:szCs w:val="24"/>
          <w:highlight w:val="none"/>
          <w:lang w:eastAsia="zh-CN"/>
        </w:rPr>
        <w:t>。</w:t>
      </w:r>
    </w:p>
    <w:p>
      <w:pPr>
        <w:pStyle w:val="24"/>
        <w:keepNext w:val="0"/>
        <w:keepLines w:val="0"/>
        <w:pageBreakBefore w:val="0"/>
        <w:widowControl/>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协审机构应本着客观、公正、公平的原则，正确履行审计职责，同时承担相应的法律责任。对协审机构滥用职权、徇私舞弊、玩忽职守的，视情节，按有关规定对协审机构及其当事人进行处理处罚；情节严重，涉嫌违法违纪的，依法移送纪检、司法机关查处。</w:t>
      </w:r>
    </w:p>
    <w:p>
      <w:pPr>
        <w:pStyle w:val="24"/>
        <w:keepNext w:val="0"/>
        <w:keepLines w:val="0"/>
        <w:pageBreakBefore w:val="0"/>
        <w:spacing w:before="0" w:beforeAutospacing="0" w:after="0" w:afterAutospacing="0" w:line="420" w:lineRule="exact"/>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、附则</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1.本协议一式肆份，具有同等法律效力，甲方、乙方各执贰份。</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2.本协议未尽事宜，由甲乙双方协商解决。协商不成，提请滁州仲裁委员会裁决。 　</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3.本合同自双方签章后生效。</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盖</w:t>
      </w:r>
      <w:r>
        <w:rPr>
          <w:rFonts w:hint="eastAsia" w:ascii="宋体" w:hAnsi="宋体" w:eastAsia="宋体" w:cs="宋体"/>
          <w:color w:val="auto"/>
          <w:sz w:val="24"/>
          <w:szCs w:val="24"/>
          <w:highlight w:val="none"/>
        </w:rPr>
        <w:t>章）                              乙方（</w:t>
      </w:r>
      <w:r>
        <w:rPr>
          <w:rFonts w:hint="eastAsia" w:ascii="宋体" w:hAnsi="宋体" w:eastAsia="宋体" w:cs="宋体"/>
          <w:color w:val="auto"/>
          <w:sz w:val="24"/>
          <w:szCs w:val="24"/>
          <w:highlight w:val="none"/>
          <w:lang w:val="en-US" w:eastAsia="zh-CN"/>
        </w:rPr>
        <w:t>盖</w:t>
      </w:r>
      <w:r>
        <w:rPr>
          <w:rFonts w:hint="eastAsia" w:ascii="宋体" w:hAnsi="宋体" w:eastAsia="宋体" w:cs="宋体"/>
          <w:color w:val="auto"/>
          <w:sz w:val="24"/>
          <w:szCs w:val="24"/>
          <w:highlight w:val="none"/>
        </w:rPr>
        <w:t xml:space="preserve">章）           </w:t>
      </w:r>
    </w:p>
    <w:p>
      <w:pPr>
        <w:pStyle w:val="24"/>
        <w:keepNext w:val="0"/>
        <w:keepLines w:val="0"/>
        <w:pageBreakBefore w:val="0"/>
        <w:spacing w:before="0" w:beforeAutospacing="0" w:after="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  </w:t>
      </w:r>
    </w:p>
    <w:p>
      <w:pPr>
        <w:pStyle w:val="25"/>
        <w:rPr>
          <w:rFonts w:hint="eastAsia" w:ascii="宋体" w:hAnsi="宋体" w:eastAsia="宋体" w:cs="宋体"/>
          <w:color w:val="auto"/>
          <w:sz w:val="24"/>
          <w:szCs w:val="24"/>
          <w:highlight w:val="none"/>
        </w:rPr>
      </w:pPr>
    </w:p>
    <w:p>
      <w:pPr>
        <w:rPr>
          <w:rFonts w:hint="eastAsia"/>
        </w:rPr>
      </w:pPr>
    </w:p>
    <w:p>
      <w:pPr>
        <w:pStyle w:val="6"/>
        <w:jc w:val="center"/>
        <w:rPr>
          <w:rFonts w:hint="eastAsia" w:ascii="宋体" w:hAnsi="宋体" w:cs="宋体"/>
          <w:sz w:val="36"/>
          <w:szCs w:val="36"/>
        </w:rPr>
      </w:pPr>
    </w:p>
    <w:p>
      <w:pPr>
        <w:rPr>
          <w:rFonts w:hint="eastAsia" w:ascii="宋体" w:hAnsi="宋体" w:cs="宋体"/>
          <w:sz w:val="36"/>
          <w:szCs w:val="36"/>
        </w:rPr>
      </w:pPr>
    </w:p>
    <w:p>
      <w:pPr>
        <w:pStyle w:val="2"/>
        <w:rPr>
          <w:rFonts w:hint="eastAsia"/>
        </w:rPr>
      </w:pPr>
    </w:p>
    <w:p>
      <w:pPr>
        <w:rPr>
          <w:rFonts w:hint="eastAsia" w:ascii="宋体" w:hAnsi="宋体" w:cs="宋体"/>
          <w:sz w:val="36"/>
          <w:szCs w:val="36"/>
        </w:rPr>
      </w:pPr>
    </w:p>
    <w:p>
      <w:pPr>
        <w:pStyle w:val="2"/>
        <w:rPr>
          <w:rFonts w:hint="eastAsia" w:ascii="宋体" w:hAnsi="宋体" w:cs="宋体"/>
          <w:sz w:val="36"/>
          <w:szCs w:val="36"/>
        </w:rPr>
      </w:pPr>
    </w:p>
    <w:p>
      <w:pPr>
        <w:rPr>
          <w:rFonts w:hint="eastAsia"/>
        </w:rPr>
      </w:pPr>
    </w:p>
    <w:p>
      <w:pPr>
        <w:pStyle w:val="2"/>
        <w:rPr>
          <w:rFonts w:hint="eastAsia" w:ascii="宋体" w:hAnsi="宋体" w:cs="宋体"/>
          <w:sz w:val="36"/>
          <w:szCs w:val="36"/>
        </w:rPr>
      </w:pPr>
    </w:p>
    <w:p>
      <w:pPr>
        <w:rPr>
          <w:rFonts w:hint="eastAsia"/>
        </w:rPr>
      </w:pPr>
    </w:p>
    <w:p>
      <w:pPr>
        <w:pStyle w:val="6"/>
        <w:jc w:val="both"/>
        <w:rPr>
          <w:rFonts w:hint="eastAsia" w:ascii="宋体" w:hAnsi="宋体" w:cs="宋体"/>
          <w:sz w:val="36"/>
          <w:szCs w:val="36"/>
        </w:rPr>
      </w:pPr>
    </w:p>
    <w:p>
      <w:pPr>
        <w:rPr>
          <w:rFonts w:hint="eastAsia" w:ascii="宋体" w:hAnsi="宋体" w:cs="宋体"/>
          <w:sz w:val="36"/>
          <w:szCs w:val="36"/>
        </w:rPr>
      </w:pPr>
    </w:p>
    <w:p>
      <w:pPr>
        <w:pStyle w:val="2"/>
        <w:rPr>
          <w:rFonts w:hint="eastAsia" w:ascii="宋体" w:hAnsi="宋体" w:cs="宋体"/>
          <w:sz w:val="36"/>
          <w:szCs w:val="36"/>
        </w:rPr>
      </w:pPr>
    </w:p>
    <w:p>
      <w:pPr>
        <w:rPr>
          <w:rFonts w:hint="eastAsia"/>
        </w:rPr>
      </w:pPr>
    </w:p>
    <w:p>
      <w:pPr>
        <w:pStyle w:val="6"/>
        <w:jc w:val="center"/>
      </w:pPr>
      <w:r>
        <w:rPr>
          <w:rFonts w:hint="eastAsia" w:ascii="宋体" w:hAnsi="宋体" w:cs="宋体"/>
          <w:sz w:val="36"/>
          <w:szCs w:val="36"/>
        </w:rPr>
        <w:t xml:space="preserve">第六章 </w:t>
      </w:r>
      <w:r>
        <w:rPr>
          <w:rFonts w:hint="eastAsia" w:ascii="宋体" w:hAnsi="宋体" w:cs="宋体"/>
          <w:kern w:val="0"/>
          <w:sz w:val="36"/>
          <w:szCs w:val="36"/>
        </w:rPr>
        <w:t>投标文件格式</w:t>
      </w:r>
    </w:p>
    <w:p/>
    <w:p/>
    <w:p>
      <w:pPr>
        <w:jc w:val="center"/>
        <w:rPr>
          <w:rFonts w:eastAsia="黑体"/>
          <w:sz w:val="20"/>
          <w:szCs w:val="20"/>
        </w:rPr>
      </w:pPr>
      <w:r>
        <w:rPr>
          <w:rFonts w:hint="eastAsia" w:eastAsia="黑体"/>
          <w:sz w:val="28"/>
          <w:szCs w:val="28"/>
          <w:u w:val="single"/>
        </w:rPr>
        <w:t xml:space="preserve">                </w:t>
      </w:r>
      <w:r>
        <w:rPr>
          <w:rFonts w:eastAsia="黑体"/>
          <w:sz w:val="28"/>
          <w:szCs w:val="28"/>
        </w:rPr>
        <w:t>（项目名称）</w:t>
      </w:r>
    </w:p>
    <w:p>
      <w:pPr>
        <w:jc w:val="center"/>
        <w:rPr>
          <w:rFonts w:eastAsia="黑体"/>
          <w:sz w:val="20"/>
          <w:szCs w:val="20"/>
        </w:rPr>
      </w:pPr>
    </w:p>
    <w:p>
      <w:pPr>
        <w:jc w:val="center"/>
        <w:rPr>
          <w:rFonts w:eastAsia="黑体"/>
          <w:sz w:val="20"/>
          <w:szCs w:val="20"/>
        </w:rPr>
      </w:pPr>
    </w:p>
    <w:p>
      <w:pPr>
        <w:jc w:val="center"/>
        <w:rPr>
          <w:rFonts w:eastAsia="黑体"/>
          <w:sz w:val="20"/>
          <w:szCs w:val="20"/>
        </w:rPr>
      </w:pPr>
    </w:p>
    <w:p>
      <w:pPr>
        <w:jc w:val="center"/>
        <w:rPr>
          <w:rFonts w:eastAsia="黑体"/>
          <w:sz w:val="20"/>
          <w:szCs w:val="20"/>
        </w:rPr>
      </w:pPr>
    </w:p>
    <w:p>
      <w:pPr>
        <w:rPr>
          <w:rFonts w:eastAsia="黑体"/>
          <w:sz w:val="20"/>
          <w:szCs w:val="20"/>
        </w:rPr>
      </w:pPr>
    </w:p>
    <w:p>
      <w:pPr>
        <w:jc w:val="center"/>
        <w:rPr>
          <w:rFonts w:eastAsia="黑体"/>
          <w:sz w:val="44"/>
          <w:szCs w:val="44"/>
        </w:rPr>
      </w:pPr>
      <w:r>
        <w:rPr>
          <w:rFonts w:eastAsia="黑体"/>
          <w:sz w:val="44"/>
          <w:szCs w:val="44"/>
        </w:rPr>
        <w:t>投  标  文  件</w:t>
      </w:r>
      <w:r>
        <w:rPr>
          <w:rFonts w:hint="eastAsia" w:eastAsia="黑体"/>
          <w:sz w:val="44"/>
          <w:szCs w:val="44"/>
        </w:rPr>
        <w:t xml:space="preserve"> 一</w:t>
      </w:r>
    </w:p>
    <w:p>
      <w:pPr>
        <w:jc w:val="center"/>
        <w:rPr>
          <w:rFonts w:eastAsia="黑体"/>
          <w:sz w:val="44"/>
          <w:szCs w:val="44"/>
        </w:rPr>
      </w:pPr>
      <w:r>
        <w:rPr>
          <w:rFonts w:hint="eastAsia" w:eastAsia="黑体"/>
          <w:sz w:val="44"/>
          <w:szCs w:val="44"/>
        </w:rPr>
        <w:t>（资信证明文件）</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pPr>
        <w:jc w:val="center"/>
        <w:rPr>
          <w:rFonts w:eastAsia="黑体"/>
          <w:sz w:val="28"/>
          <w:szCs w:val="28"/>
        </w:rPr>
      </w:pPr>
      <w:r>
        <w:rPr>
          <w:rFonts w:eastAsia="黑体"/>
          <w:sz w:val="28"/>
          <w:szCs w:val="28"/>
        </w:rPr>
        <w:t>法定代表人：</w:t>
      </w:r>
      <w:r>
        <w:rPr>
          <w:rFonts w:eastAsia="黑体"/>
          <w:sz w:val="28"/>
          <w:szCs w:val="28"/>
          <w:u w:val="single"/>
        </w:rPr>
        <w:t xml:space="preserve">                </w:t>
      </w:r>
      <w:r>
        <w:rPr>
          <w:rFonts w:eastAsia="黑体"/>
          <w:sz w:val="28"/>
          <w:szCs w:val="28"/>
        </w:rPr>
        <w:t>（签</w:t>
      </w:r>
      <w:r>
        <w:rPr>
          <w:rFonts w:hint="eastAsia" w:eastAsia="黑体"/>
          <w:sz w:val="28"/>
          <w:szCs w:val="28"/>
        </w:rPr>
        <w:t>字或盖章</w:t>
      </w:r>
      <w:r>
        <w:rPr>
          <w:rFonts w:eastAsia="黑体"/>
          <w:sz w:val="28"/>
          <w:szCs w:val="28"/>
        </w:rPr>
        <w:t>）</w:t>
      </w: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540" w:lineRule="exact"/>
      </w:pPr>
    </w:p>
    <w:p>
      <w:pPr>
        <w:spacing w:line="540" w:lineRule="exact"/>
      </w:pPr>
    </w:p>
    <w:p/>
    <w:p/>
    <w:p>
      <w:pPr>
        <w:spacing w:line="400" w:lineRule="exact"/>
        <w:rPr>
          <w:b/>
          <w:sz w:val="28"/>
          <w:szCs w:val="28"/>
        </w:rPr>
      </w:pPr>
    </w:p>
    <w:p>
      <w:pPr>
        <w:spacing w:line="400" w:lineRule="exact"/>
        <w:ind w:firstLine="562" w:firstLineChars="200"/>
        <w:jc w:val="left"/>
        <w:rPr>
          <w:b/>
          <w:sz w:val="28"/>
          <w:szCs w:val="28"/>
        </w:rPr>
      </w:pPr>
    </w:p>
    <w:p>
      <w:pPr>
        <w:spacing w:line="400" w:lineRule="exact"/>
        <w:ind w:firstLine="562" w:firstLineChars="200"/>
        <w:jc w:val="center"/>
        <w:rPr>
          <w:b/>
          <w:sz w:val="28"/>
          <w:szCs w:val="28"/>
        </w:rPr>
      </w:pPr>
      <w:r>
        <w:rPr>
          <w:rFonts w:hint="eastAsia"/>
          <w:b/>
          <w:sz w:val="28"/>
          <w:szCs w:val="28"/>
        </w:rPr>
        <w:t>投标文件：文件目录</w:t>
      </w:r>
    </w:p>
    <w:p>
      <w:pPr>
        <w:spacing w:line="440" w:lineRule="exact"/>
        <w:ind w:firstLine="420" w:firstLineChars="200"/>
        <w:rPr>
          <w:rFonts w:ascii="宋体" w:hAnsi="宋体"/>
          <w:szCs w:val="21"/>
        </w:rPr>
      </w:pPr>
      <w:bookmarkStart w:id="33" w:name="_Toc324404889"/>
      <w:bookmarkStart w:id="34" w:name="_Toc16718"/>
      <w:r>
        <w:rPr>
          <w:rFonts w:hint="eastAsia" w:ascii="宋体" w:hAnsi="宋体"/>
          <w:szCs w:val="21"/>
        </w:rPr>
        <w:t>1</w:t>
      </w:r>
      <w:r>
        <w:rPr>
          <w:rFonts w:hint="eastAsia" w:ascii="宋体" w:hAnsi="宋体"/>
          <w:szCs w:val="21"/>
          <w:lang w:eastAsia="zh-CN"/>
        </w:rPr>
        <w:t>、</w:t>
      </w:r>
      <w:r>
        <w:rPr>
          <w:rFonts w:hint="eastAsia" w:ascii="宋体" w:hAnsi="宋体"/>
          <w:szCs w:val="21"/>
        </w:rPr>
        <w:t>法定代表人身份证明和本人身份证(或法定代表人授权委托书和委托代理人身份证)；</w:t>
      </w:r>
    </w:p>
    <w:p>
      <w:pPr>
        <w:spacing w:line="440" w:lineRule="exact"/>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诚信投标承诺书；</w:t>
      </w:r>
    </w:p>
    <w:p>
      <w:pPr>
        <w:spacing w:line="440" w:lineRule="exact"/>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企业法人营业执照；</w:t>
      </w:r>
    </w:p>
    <w:p>
      <w:pPr>
        <w:spacing w:line="440" w:lineRule="exact"/>
        <w:ind w:firstLine="420" w:firstLineChars="200"/>
        <w:rPr>
          <w:rFonts w:hint="eastAsia"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项目负责人有效身份证、注册证书；</w:t>
      </w:r>
    </w:p>
    <w:p>
      <w:pPr>
        <w:spacing w:line="440" w:lineRule="exact"/>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5、项目组成员</w:t>
      </w:r>
      <w:r>
        <w:rPr>
          <w:rFonts w:hint="eastAsia" w:ascii="宋体" w:hAnsi="宋体" w:cs="Times New Roman"/>
          <w:color w:val="auto"/>
          <w:szCs w:val="21"/>
          <w:lang w:val="en-US" w:eastAsia="zh-CN"/>
        </w:rPr>
        <w:t>有效</w:t>
      </w:r>
      <w:r>
        <w:rPr>
          <w:rFonts w:hint="eastAsia" w:ascii="宋体" w:hAnsi="宋体" w:eastAsia="宋体" w:cs="Times New Roman"/>
          <w:color w:val="auto"/>
          <w:szCs w:val="21"/>
          <w:lang w:val="en-US" w:eastAsia="zh-CN"/>
        </w:rPr>
        <w:t>身份证及资格证书；</w:t>
      </w:r>
    </w:p>
    <w:p>
      <w:pPr>
        <w:spacing w:line="440" w:lineRule="exact"/>
        <w:ind w:firstLine="420" w:firstLineChars="200"/>
        <w:rPr>
          <w:rFonts w:hint="eastAsia" w:ascii="宋体" w:hAnsi="宋体" w:cs="宋体"/>
          <w:color w:val="000000"/>
          <w:szCs w:val="21"/>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cs="宋体"/>
          <w:color w:val="000000"/>
          <w:szCs w:val="21"/>
        </w:rPr>
        <w:t>投标人的法定代表人(或委托代理人)和拟任项目经理</w:t>
      </w:r>
      <w:r>
        <w:rPr>
          <w:rFonts w:hint="eastAsia" w:ascii="宋体" w:hAnsi="宋体" w:cs="宋体"/>
          <w:color w:val="000000"/>
          <w:szCs w:val="21"/>
          <w:lang w:eastAsia="zh-CN"/>
        </w:rPr>
        <w:t>及项目组成员</w:t>
      </w:r>
      <w:r>
        <w:rPr>
          <w:rFonts w:hint="eastAsia" w:ascii="宋体" w:hAnsi="宋体" w:cs="宋体"/>
          <w:color w:val="000000"/>
          <w:szCs w:val="21"/>
        </w:rPr>
        <w:t>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pPr>
        <w:spacing w:line="440" w:lineRule="exact"/>
        <w:ind w:firstLine="420" w:firstLineChars="200"/>
        <w:rPr>
          <w:rFonts w:hint="default" w:ascii="宋体" w:hAnsi="宋体" w:eastAsia="宋体"/>
          <w:szCs w:val="21"/>
          <w:lang w:val="en-US" w:eastAsia="zh-CN"/>
        </w:rPr>
      </w:pPr>
      <w:r>
        <w:rPr>
          <w:rFonts w:hint="eastAsia" w:ascii="宋体" w:hAnsi="宋体"/>
          <w:szCs w:val="21"/>
          <w:lang w:val="en-US" w:eastAsia="zh-CN"/>
        </w:rPr>
        <w:t>7、</w:t>
      </w:r>
      <w:r>
        <w:rPr>
          <w:rFonts w:hint="eastAsia" w:ascii="宋体" w:hAnsi="宋体"/>
          <w:szCs w:val="21"/>
        </w:rPr>
        <w:t>业绩</w:t>
      </w:r>
      <w:r>
        <w:rPr>
          <w:rFonts w:hint="eastAsia" w:ascii="宋体" w:hAnsi="宋体"/>
          <w:szCs w:val="21"/>
          <w:lang w:val="en-US" w:eastAsia="zh-CN"/>
        </w:rPr>
        <w:t>证明材料；</w:t>
      </w:r>
    </w:p>
    <w:p>
      <w:pPr>
        <w:spacing w:line="440" w:lineRule="exact"/>
        <w:ind w:firstLine="420" w:firstLineChars="200"/>
        <w:rPr>
          <w:rFonts w:hint="default" w:ascii="宋体" w:hAnsi="宋体" w:eastAsia="宋体"/>
          <w:szCs w:val="21"/>
          <w:lang w:val="en-US" w:eastAsia="zh-CN"/>
        </w:rPr>
      </w:pPr>
      <w:r>
        <w:rPr>
          <w:rFonts w:hint="eastAsia" w:ascii="宋体" w:hAnsi="宋体"/>
          <w:szCs w:val="21"/>
          <w:lang w:val="en-US" w:eastAsia="zh-CN"/>
        </w:rPr>
        <w:t xml:space="preserve">8、投标函； </w:t>
      </w:r>
    </w:p>
    <w:p>
      <w:pPr>
        <w:spacing w:line="440" w:lineRule="exact"/>
        <w:ind w:firstLine="420" w:firstLineChars="200"/>
        <w:rPr>
          <w:color w:val="0000FF"/>
          <w:szCs w:val="21"/>
        </w:rPr>
      </w:pPr>
      <w:r>
        <w:rPr>
          <w:rFonts w:hint="eastAsia" w:ascii="宋体" w:hAnsi="宋体"/>
          <w:szCs w:val="21"/>
          <w:lang w:val="en-US" w:eastAsia="zh-CN"/>
        </w:rPr>
        <w:t>9、</w:t>
      </w:r>
      <w:r>
        <w:rPr>
          <w:rFonts w:hint="eastAsia" w:ascii="宋体" w:hAnsi="宋体"/>
          <w:szCs w:val="21"/>
        </w:rPr>
        <w:t>详细评审所需其他材料（如有）</w:t>
      </w:r>
      <w:r>
        <w:rPr>
          <w:rFonts w:hint="eastAsia"/>
          <w:szCs w:val="21"/>
        </w:rPr>
        <w:t>。</w:t>
      </w:r>
    </w:p>
    <w:p>
      <w:pPr>
        <w:jc w:val="left"/>
        <w:rPr>
          <w:rFonts w:ascii="宋体"/>
          <w:szCs w:val="30"/>
        </w:rPr>
      </w:pPr>
      <w:r>
        <w:rPr>
          <w:rFonts w:ascii="宋体"/>
          <w:szCs w:val="30"/>
        </w:rPr>
        <w:br w:type="page"/>
      </w:r>
      <w:bookmarkStart w:id="35" w:name="_Toc506107341"/>
      <w:bookmarkStart w:id="39" w:name="_GoBack"/>
      <w:bookmarkEnd w:id="39"/>
    </w:p>
    <w:bookmarkEnd w:id="33"/>
    <w:bookmarkEnd w:id="34"/>
    <w:bookmarkEnd w:id="35"/>
    <w:p>
      <w:pPr>
        <w:pStyle w:val="60"/>
        <w:spacing w:before="312" w:beforeLines="100" w:after="312" w:afterLines="100" w:line="480" w:lineRule="exact"/>
        <w:rPr>
          <w:b/>
          <w:bCs/>
          <w:color w:val="auto"/>
          <w:kern w:val="2"/>
          <w:sz w:val="32"/>
          <w:szCs w:val="32"/>
        </w:rPr>
      </w:pPr>
      <w:bookmarkStart w:id="36" w:name="_Toc417549973"/>
      <w:r>
        <w:rPr>
          <w:rFonts w:hint="eastAsia"/>
          <w:b/>
          <w:bCs/>
          <w:color w:val="auto"/>
          <w:kern w:val="2"/>
          <w:sz w:val="32"/>
          <w:szCs w:val="32"/>
        </w:rPr>
        <w:t>（1）法定代表人身份证明</w:t>
      </w:r>
    </w:p>
    <w:p>
      <w:pPr>
        <w:spacing w:line="700" w:lineRule="exact"/>
        <w:rPr>
          <w:rFonts w:ascii="宋体"/>
          <w:sz w:val="28"/>
          <w:szCs w:val="28"/>
        </w:rPr>
      </w:pPr>
      <w:r>
        <w:rPr>
          <w:rFonts w:hint="eastAsia" w:ascii="宋体"/>
          <w:sz w:val="28"/>
          <w:szCs w:val="28"/>
        </w:rPr>
        <w:t>投标人名称：</w:t>
      </w:r>
      <w:r>
        <w:rPr>
          <w:rFonts w:hint="eastAsia" w:ascii="宋体"/>
          <w:sz w:val="28"/>
          <w:szCs w:val="28"/>
          <w:u w:val="single"/>
        </w:rPr>
        <w:t xml:space="preserve">                                </w:t>
      </w:r>
      <w:r>
        <w:rPr>
          <w:rFonts w:hint="eastAsia" w:ascii="宋体"/>
          <w:sz w:val="28"/>
          <w:szCs w:val="28"/>
        </w:rPr>
        <w:t xml:space="preserve"> </w:t>
      </w:r>
    </w:p>
    <w:p>
      <w:pPr>
        <w:spacing w:line="700" w:lineRule="exact"/>
        <w:rPr>
          <w:rFonts w:ascii="宋体"/>
          <w:sz w:val="28"/>
          <w:szCs w:val="28"/>
        </w:rPr>
      </w:pPr>
      <w:r>
        <w:rPr>
          <w:rFonts w:hint="eastAsia" w:ascii="宋体"/>
          <w:sz w:val="28"/>
          <w:szCs w:val="28"/>
        </w:rPr>
        <w:t xml:space="preserve">单位性质： </w:t>
      </w:r>
      <w:r>
        <w:rPr>
          <w:rFonts w:hint="eastAsia" w:ascii="宋体"/>
          <w:sz w:val="28"/>
          <w:szCs w:val="28"/>
          <w:u w:val="single"/>
        </w:rPr>
        <w:t xml:space="preserve">                                  </w:t>
      </w:r>
      <w:r>
        <w:rPr>
          <w:rFonts w:hint="eastAsia" w:ascii="宋体"/>
          <w:sz w:val="28"/>
          <w:szCs w:val="28"/>
        </w:rPr>
        <w:t xml:space="preserve"> </w:t>
      </w:r>
    </w:p>
    <w:p>
      <w:pPr>
        <w:spacing w:line="700" w:lineRule="exact"/>
        <w:rPr>
          <w:rFonts w:ascii="宋体"/>
          <w:sz w:val="28"/>
          <w:szCs w:val="28"/>
        </w:rPr>
      </w:pPr>
      <w:r>
        <w:rPr>
          <w:rFonts w:hint="eastAsia" w:ascii="宋体"/>
          <w:sz w:val="28"/>
          <w:szCs w:val="28"/>
        </w:rPr>
        <w:t>地    址：</w:t>
      </w:r>
      <w:r>
        <w:rPr>
          <w:rFonts w:hint="eastAsia" w:ascii="宋体"/>
          <w:sz w:val="28"/>
          <w:szCs w:val="28"/>
          <w:u w:val="single"/>
        </w:rPr>
        <w:t xml:space="preserve">                                   </w:t>
      </w:r>
      <w:r>
        <w:rPr>
          <w:rFonts w:hint="eastAsia" w:ascii="宋体"/>
          <w:sz w:val="28"/>
          <w:szCs w:val="28"/>
        </w:rPr>
        <w:t xml:space="preserve"> </w:t>
      </w:r>
    </w:p>
    <w:p>
      <w:pPr>
        <w:spacing w:line="700" w:lineRule="exact"/>
        <w:rPr>
          <w:rFonts w:ascii="宋体"/>
          <w:sz w:val="28"/>
          <w:szCs w:val="28"/>
        </w:rPr>
      </w:pPr>
      <w:r>
        <w:rPr>
          <w:rFonts w:hint="eastAsia" w:ascii="宋体"/>
          <w:sz w:val="28"/>
          <w:szCs w:val="28"/>
        </w:rPr>
        <w:t>成立时间：</w:t>
      </w:r>
      <w:r>
        <w:rPr>
          <w:rFonts w:hint="eastAsia" w:ascii="宋体"/>
          <w:sz w:val="28"/>
          <w:szCs w:val="28"/>
          <w:u w:val="single"/>
        </w:rPr>
        <w:t xml:space="preserve">        </w:t>
      </w:r>
      <w:r>
        <w:rPr>
          <w:rFonts w:hint="eastAsia" w:ascii="宋体"/>
          <w:sz w:val="28"/>
          <w:szCs w:val="28"/>
        </w:rPr>
        <w:t>年</w:t>
      </w:r>
      <w:r>
        <w:rPr>
          <w:rFonts w:hint="eastAsia" w:ascii="宋体"/>
          <w:sz w:val="28"/>
          <w:szCs w:val="28"/>
          <w:u w:val="single"/>
        </w:rPr>
        <w:t xml:space="preserve">    </w:t>
      </w:r>
      <w:r>
        <w:rPr>
          <w:rFonts w:hint="eastAsia" w:ascii="宋体"/>
          <w:sz w:val="28"/>
          <w:szCs w:val="28"/>
        </w:rPr>
        <w:t>月</w:t>
      </w:r>
      <w:r>
        <w:rPr>
          <w:rFonts w:hint="eastAsia" w:ascii="宋体"/>
          <w:sz w:val="28"/>
          <w:szCs w:val="28"/>
          <w:u w:val="single"/>
        </w:rPr>
        <w:t xml:space="preserve">    </w:t>
      </w:r>
      <w:r>
        <w:rPr>
          <w:rFonts w:hint="eastAsia" w:ascii="宋体"/>
          <w:sz w:val="28"/>
          <w:szCs w:val="28"/>
        </w:rPr>
        <w:t>日</w:t>
      </w:r>
    </w:p>
    <w:p>
      <w:pPr>
        <w:spacing w:line="700" w:lineRule="exact"/>
        <w:rPr>
          <w:rFonts w:ascii="宋体"/>
          <w:sz w:val="28"/>
          <w:szCs w:val="28"/>
        </w:rPr>
      </w:pPr>
      <w:r>
        <w:rPr>
          <w:rFonts w:hint="eastAsia" w:ascii="宋体"/>
          <w:sz w:val="28"/>
          <w:szCs w:val="28"/>
        </w:rPr>
        <w:t>经营期限：</w:t>
      </w:r>
      <w:r>
        <w:rPr>
          <w:rFonts w:hint="eastAsia" w:ascii="宋体"/>
          <w:sz w:val="28"/>
          <w:szCs w:val="28"/>
          <w:u w:val="single"/>
        </w:rPr>
        <w:t xml:space="preserve">                                </w:t>
      </w:r>
      <w:r>
        <w:rPr>
          <w:rFonts w:hint="eastAsia" w:ascii="宋体"/>
          <w:sz w:val="28"/>
          <w:szCs w:val="28"/>
        </w:rPr>
        <w:t xml:space="preserve"> </w:t>
      </w:r>
    </w:p>
    <w:p>
      <w:pPr>
        <w:spacing w:line="700" w:lineRule="exact"/>
        <w:jc w:val="left"/>
        <w:rPr>
          <w:rFonts w:ascii="宋体"/>
          <w:sz w:val="28"/>
          <w:szCs w:val="28"/>
          <w:u w:val="single"/>
        </w:rPr>
      </w:pPr>
      <w:r>
        <w:rPr>
          <w:rFonts w:hint="eastAsia" w:ascii="宋体"/>
          <w:spacing w:val="240"/>
          <w:sz w:val="28"/>
          <w:szCs w:val="28"/>
        </w:rPr>
        <w:t>姓</w:t>
      </w:r>
      <w:r>
        <w:rPr>
          <w:rFonts w:hint="eastAsia" w:ascii="宋体"/>
          <w:sz w:val="28"/>
          <w:szCs w:val="28"/>
        </w:rPr>
        <w:t>名：</w:t>
      </w:r>
      <w:r>
        <w:rPr>
          <w:rFonts w:hint="eastAsia" w:ascii="宋体"/>
          <w:sz w:val="28"/>
          <w:szCs w:val="28"/>
          <w:u w:val="single"/>
        </w:rPr>
        <w:t xml:space="preserve">           </w:t>
      </w:r>
      <w:r>
        <w:rPr>
          <w:rFonts w:hint="eastAsia" w:ascii="宋体"/>
          <w:sz w:val="28"/>
          <w:szCs w:val="28"/>
        </w:rPr>
        <w:t>身份证号码：</w:t>
      </w:r>
      <w:r>
        <w:rPr>
          <w:rFonts w:hint="eastAsia" w:ascii="宋体"/>
          <w:sz w:val="28"/>
          <w:szCs w:val="28"/>
          <w:u w:val="single"/>
        </w:rPr>
        <w:t xml:space="preserve">             </w:t>
      </w:r>
      <w:r>
        <w:rPr>
          <w:rFonts w:hint="eastAsia" w:ascii="宋体"/>
          <w:sz w:val="28"/>
          <w:szCs w:val="28"/>
        </w:rPr>
        <w:t>性别：</w:t>
      </w:r>
      <w:r>
        <w:rPr>
          <w:rFonts w:hint="eastAsia" w:ascii="宋体"/>
          <w:sz w:val="28"/>
          <w:szCs w:val="28"/>
          <w:u w:val="single"/>
        </w:rPr>
        <w:t xml:space="preserve">                </w:t>
      </w:r>
    </w:p>
    <w:p>
      <w:pPr>
        <w:spacing w:line="700" w:lineRule="exact"/>
        <w:jc w:val="left"/>
        <w:rPr>
          <w:rFonts w:ascii="宋体"/>
          <w:sz w:val="28"/>
          <w:szCs w:val="28"/>
          <w:u w:val="single"/>
        </w:rPr>
      </w:pPr>
      <w:r>
        <w:rPr>
          <w:rFonts w:hint="eastAsia" w:ascii="宋体"/>
          <w:sz w:val="28"/>
          <w:szCs w:val="28"/>
        </w:rPr>
        <w:t>年龄：</w:t>
      </w:r>
      <w:r>
        <w:rPr>
          <w:rFonts w:hint="eastAsia" w:ascii="宋体"/>
          <w:sz w:val="28"/>
          <w:szCs w:val="28"/>
          <w:u w:val="single"/>
        </w:rPr>
        <w:t xml:space="preserve">       </w:t>
      </w:r>
      <w:r>
        <w:rPr>
          <w:rFonts w:hint="eastAsia" w:ascii="宋体"/>
          <w:sz w:val="28"/>
          <w:szCs w:val="28"/>
        </w:rPr>
        <w:t>职务：</w:t>
      </w:r>
      <w:r>
        <w:rPr>
          <w:rFonts w:hint="eastAsia" w:ascii="宋体"/>
          <w:sz w:val="28"/>
          <w:szCs w:val="28"/>
          <w:u w:val="single"/>
        </w:rPr>
        <w:t xml:space="preserve">        </w:t>
      </w:r>
      <w:r>
        <w:rPr>
          <w:rFonts w:hint="eastAsia" w:ascii="宋体"/>
          <w:sz w:val="28"/>
          <w:szCs w:val="28"/>
        </w:rPr>
        <w:t>，系</w:t>
      </w:r>
      <w:r>
        <w:rPr>
          <w:rFonts w:hint="eastAsia" w:ascii="宋体"/>
          <w:sz w:val="28"/>
          <w:szCs w:val="28"/>
          <w:u w:val="single"/>
        </w:rPr>
        <w:t xml:space="preserve">                                </w:t>
      </w:r>
      <w:r>
        <w:rPr>
          <w:rFonts w:hint="eastAsia" w:ascii="宋体"/>
          <w:sz w:val="28"/>
          <w:szCs w:val="28"/>
        </w:rPr>
        <w:t>（投标人名称）的法定代表人。</w:t>
      </w:r>
    </w:p>
    <w:p>
      <w:pPr>
        <w:spacing w:line="700" w:lineRule="exact"/>
        <w:rPr>
          <w:rFonts w:ascii="宋体"/>
          <w:sz w:val="28"/>
          <w:szCs w:val="28"/>
        </w:rPr>
      </w:pPr>
      <w:r>
        <w:rPr>
          <w:rFonts w:hint="eastAsia" w:ascii="宋体"/>
          <w:sz w:val="28"/>
          <w:szCs w:val="28"/>
        </w:rPr>
        <w:t>特此证明。</w:t>
      </w:r>
    </w:p>
    <w:p>
      <w:pPr>
        <w:spacing w:line="700" w:lineRule="exact"/>
        <w:rPr>
          <w:rFonts w:ascii="宋体"/>
          <w:sz w:val="28"/>
          <w:szCs w:val="28"/>
        </w:rPr>
      </w:pPr>
      <w:r>
        <w:rPr>
          <w:rFonts w:hint="eastAsia" w:ascii="宋体"/>
          <w:sz w:val="28"/>
          <w:szCs w:val="28"/>
        </w:rPr>
        <w:t>附：法定代表人身份证复印件</w:t>
      </w:r>
    </w:p>
    <w:p>
      <w:pPr>
        <w:spacing w:line="700" w:lineRule="exact"/>
        <w:rPr>
          <w:rFonts w:ascii="宋体"/>
          <w:sz w:val="28"/>
          <w:szCs w:val="28"/>
        </w:rPr>
      </w:pPr>
    </w:p>
    <w:p>
      <w:pPr>
        <w:spacing w:line="700" w:lineRule="exact"/>
        <w:rPr>
          <w:rFonts w:ascii="宋体"/>
          <w:sz w:val="28"/>
          <w:szCs w:val="28"/>
        </w:rPr>
      </w:pPr>
    </w:p>
    <w:p>
      <w:pPr>
        <w:spacing w:line="700" w:lineRule="exact"/>
        <w:ind w:firstLine="3640" w:firstLineChars="1300"/>
        <w:rPr>
          <w:rFonts w:ascii="宋体"/>
          <w:sz w:val="28"/>
          <w:szCs w:val="28"/>
        </w:rPr>
      </w:pPr>
      <w:r>
        <w:rPr>
          <w:rFonts w:hint="eastAsia" w:ascii="宋体"/>
          <w:sz w:val="28"/>
          <w:szCs w:val="28"/>
        </w:rPr>
        <w:t>投标人：</w:t>
      </w:r>
      <w:r>
        <w:rPr>
          <w:rFonts w:hint="eastAsia" w:ascii="宋体"/>
          <w:sz w:val="28"/>
          <w:szCs w:val="28"/>
          <w:u w:val="single"/>
        </w:rPr>
        <w:t xml:space="preserve">                    </w:t>
      </w:r>
      <w:r>
        <w:rPr>
          <w:rFonts w:hint="eastAsia" w:ascii="宋体"/>
          <w:sz w:val="28"/>
          <w:szCs w:val="28"/>
        </w:rPr>
        <w:t>（盖章）</w:t>
      </w:r>
    </w:p>
    <w:p>
      <w:pPr>
        <w:spacing w:line="700" w:lineRule="exact"/>
        <w:rPr>
          <w:rFonts w:ascii="宋体"/>
          <w:sz w:val="28"/>
          <w:szCs w:val="28"/>
        </w:rPr>
      </w:pPr>
      <w:r>
        <w:rPr>
          <w:rFonts w:hint="eastAsia" w:ascii="宋体"/>
          <w:sz w:val="28"/>
          <w:szCs w:val="28"/>
        </w:rPr>
        <w:t xml:space="preserve">                                        年    月     日</w:t>
      </w:r>
    </w:p>
    <w:p>
      <w:pPr>
        <w:spacing w:line="700" w:lineRule="exact"/>
        <w:rPr>
          <w:rFonts w:ascii="宋体"/>
          <w:sz w:val="28"/>
          <w:szCs w:val="28"/>
        </w:rPr>
      </w:pPr>
    </w:p>
    <w:p>
      <w:pPr>
        <w:spacing w:line="700" w:lineRule="exact"/>
        <w:rPr>
          <w:rFonts w:ascii="宋体"/>
          <w:sz w:val="28"/>
          <w:szCs w:val="28"/>
        </w:rPr>
      </w:pPr>
    </w:p>
    <w:p>
      <w:pPr>
        <w:spacing w:line="700" w:lineRule="exact"/>
        <w:rPr>
          <w:rFonts w:ascii="宋体"/>
          <w:sz w:val="28"/>
          <w:szCs w:val="28"/>
        </w:rPr>
      </w:pPr>
    </w:p>
    <w:p>
      <w:pPr>
        <w:pStyle w:val="13"/>
        <w:rPr>
          <w:rFonts w:ascii="宋体"/>
          <w:sz w:val="28"/>
          <w:szCs w:val="28"/>
        </w:rPr>
      </w:pPr>
    </w:p>
    <w:p>
      <w:pPr>
        <w:pStyle w:val="13"/>
        <w:rPr>
          <w:rFonts w:ascii="宋体"/>
          <w:sz w:val="28"/>
          <w:szCs w:val="28"/>
        </w:rPr>
      </w:pPr>
    </w:p>
    <w:p>
      <w:pPr>
        <w:pStyle w:val="60"/>
        <w:spacing w:before="312" w:beforeLines="100" w:after="312" w:afterLines="100" w:line="480" w:lineRule="exact"/>
        <w:ind w:firstLine="2891" w:firstLineChars="900"/>
        <w:jc w:val="both"/>
        <w:rPr>
          <w:b/>
          <w:bCs/>
          <w:color w:val="auto"/>
          <w:kern w:val="2"/>
          <w:sz w:val="32"/>
          <w:szCs w:val="32"/>
        </w:rPr>
      </w:pPr>
      <w:r>
        <w:rPr>
          <w:rFonts w:hint="eastAsia"/>
          <w:b/>
          <w:bCs/>
          <w:color w:val="auto"/>
          <w:kern w:val="2"/>
          <w:sz w:val="32"/>
          <w:szCs w:val="32"/>
        </w:rPr>
        <w:t>（2）授权委托书</w:t>
      </w:r>
    </w:p>
    <w:p>
      <w:pPr>
        <w:spacing w:line="700" w:lineRule="exact"/>
        <w:ind w:firstLine="560" w:firstLineChars="200"/>
        <w:rPr>
          <w:rFonts w:ascii="宋体"/>
          <w:sz w:val="28"/>
          <w:szCs w:val="28"/>
        </w:rPr>
      </w:pPr>
      <w:r>
        <w:rPr>
          <w:rFonts w:hint="eastAsia" w:ascii="宋体"/>
          <w:sz w:val="28"/>
          <w:szCs w:val="28"/>
        </w:rPr>
        <w:t xml:space="preserve">本人 </w:t>
      </w:r>
      <w:r>
        <w:rPr>
          <w:rFonts w:hint="eastAsia" w:ascii="宋体"/>
          <w:sz w:val="28"/>
          <w:szCs w:val="28"/>
          <w:u w:val="single"/>
        </w:rPr>
        <w:t xml:space="preserve">    </w:t>
      </w:r>
      <w:r>
        <w:rPr>
          <w:rFonts w:hint="eastAsia" w:ascii="宋体"/>
          <w:sz w:val="28"/>
          <w:szCs w:val="28"/>
        </w:rPr>
        <w:t>（姓名）系</w:t>
      </w:r>
      <w:r>
        <w:rPr>
          <w:rFonts w:hint="eastAsia" w:ascii="宋体"/>
          <w:sz w:val="28"/>
          <w:szCs w:val="28"/>
          <w:u w:val="single"/>
        </w:rPr>
        <w:t xml:space="preserve">       </w:t>
      </w:r>
      <w:r>
        <w:rPr>
          <w:rFonts w:hint="eastAsia" w:ascii="宋体"/>
          <w:sz w:val="28"/>
          <w:szCs w:val="28"/>
        </w:rPr>
        <w:t>（投标人）的法定代表人，现委托</w:t>
      </w:r>
      <w:r>
        <w:rPr>
          <w:rFonts w:hint="eastAsia" w:ascii="宋体"/>
          <w:sz w:val="28"/>
          <w:szCs w:val="28"/>
          <w:u w:val="single"/>
        </w:rPr>
        <w:t xml:space="preserve">   （姓名）</w:t>
      </w:r>
      <w:r>
        <w:rPr>
          <w:rFonts w:hint="eastAsia" w:ascii="宋体"/>
          <w:sz w:val="28"/>
          <w:szCs w:val="28"/>
        </w:rPr>
        <w:t>为我方代理人。代理人根据授权，以我方名义签署、澄清、说明、补正、递交、撤回、修改 “</w:t>
      </w:r>
      <w:r>
        <w:rPr>
          <w:rFonts w:hint="eastAsia" w:ascii="宋体"/>
          <w:sz w:val="28"/>
          <w:szCs w:val="28"/>
          <w:u w:val="single"/>
        </w:rPr>
        <w:t xml:space="preserve">      </w:t>
      </w:r>
      <w:r>
        <w:rPr>
          <w:rFonts w:hint="eastAsia" w:ascii="宋体"/>
          <w:sz w:val="28"/>
          <w:szCs w:val="28"/>
        </w:rPr>
        <w:t xml:space="preserve"> ”(项目名称）投标文件，全权处理与该项目投标、评审答疑、签订合同以及与合同执行有关的一切事务，其法律后果由我方承担。</w:t>
      </w:r>
    </w:p>
    <w:p>
      <w:pPr>
        <w:spacing w:line="700" w:lineRule="exact"/>
        <w:ind w:firstLine="560" w:firstLineChars="200"/>
        <w:rPr>
          <w:rFonts w:ascii="宋体"/>
          <w:sz w:val="28"/>
          <w:szCs w:val="28"/>
        </w:rPr>
      </w:pPr>
      <w:r>
        <w:rPr>
          <w:rFonts w:hint="eastAsia" w:ascii="宋体"/>
          <w:sz w:val="28"/>
          <w:szCs w:val="28"/>
        </w:rPr>
        <w:t>委托期限：</w:t>
      </w:r>
      <w:r>
        <w:rPr>
          <w:rFonts w:hint="eastAsia" w:ascii="宋体" w:cs="宋体"/>
          <w:sz w:val="28"/>
          <w:szCs w:val="28"/>
          <w:u w:val="single"/>
        </w:rPr>
        <w:t xml:space="preserve">          </w:t>
      </w:r>
      <w:r>
        <w:rPr>
          <w:rFonts w:hint="eastAsia" w:ascii="宋体" w:cs="宋体"/>
          <w:sz w:val="28"/>
          <w:szCs w:val="28"/>
        </w:rPr>
        <w:t>。</w:t>
      </w:r>
      <w:r>
        <w:rPr>
          <w:rFonts w:hint="eastAsia" w:ascii="宋体"/>
          <w:sz w:val="28"/>
          <w:szCs w:val="28"/>
        </w:rPr>
        <w:t xml:space="preserve">     </w:t>
      </w:r>
    </w:p>
    <w:p>
      <w:pPr>
        <w:spacing w:line="700" w:lineRule="exact"/>
        <w:ind w:firstLine="560" w:firstLineChars="200"/>
        <w:rPr>
          <w:rFonts w:ascii="宋体"/>
          <w:sz w:val="28"/>
          <w:szCs w:val="28"/>
        </w:rPr>
      </w:pPr>
      <w:r>
        <w:rPr>
          <w:rFonts w:hint="eastAsia" w:ascii="宋体"/>
          <w:sz w:val="28"/>
          <w:szCs w:val="28"/>
        </w:rPr>
        <w:t>代理人无转委托权。</w:t>
      </w:r>
    </w:p>
    <w:p>
      <w:pPr>
        <w:spacing w:line="700" w:lineRule="exact"/>
        <w:ind w:firstLine="560" w:firstLineChars="200"/>
        <w:rPr>
          <w:rFonts w:ascii="宋体"/>
          <w:b/>
          <w:sz w:val="28"/>
          <w:szCs w:val="28"/>
        </w:rPr>
      </w:pPr>
      <w:r>
        <w:rPr>
          <w:rFonts w:hint="eastAsia" w:ascii="宋体"/>
          <w:sz w:val="28"/>
          <w:szCs w:val="28"/>
        </w:rPr>
        <w:t>附：</w:t>
      </w:r>
      <w:r>
        <w:rPr>
          <w:rFonts w:hint="eastAsia" w:ascii="宋体"/>
          <w:b/>
          <w:sz w:val="28"/>
          <w:szCs w:val="28"/>
        </w:rPr>
        <w:t>委托代理人身份证复印件</w:t>
      </w:r>
    </w:p>
    <w:p>
      <w:pPr>
        <w:spacing w:line="700" w:lineRule="exact"/>
        <w:ind w:firstLine="562" w:firstLineChars="200"/>
        <w:rPr>
          <w:rFonts w:ascii="宋体"/>
          <w:b/>
          <w:sz w:val="28"/>
          <w:szCs w:val="28"/>
        </w:rPr>
      </w:pPr>
      <w:r>
        <w:rPr>
          <w:rFonts w:hint="eastAsia" w:ascii="宋体"/>
          <w:b/>
          <w:sz w:val="28"/>
          <w:szCs w:val="28"/>
        </w:rPr>
        <w:t xml:space="preserve">    法定代表人身份证复印件</w:t>
      </w:r>
    </w:p>
    <w:p>
      <w:pPr>
        <w:spacing w:line="700" w:lineRule="exact"/>
        <w:ind w:firstLine="560" w:firstLineChars="200"/>
        <w:rPr>
          <w:rFonts w:ascii="宋体"/>
          <w:sz w:val="28"/>
          <w:szCs w:val="28"/>
        </w:rPr>
      </w:pPr>
    </w:p>
    <w:p>
      <w:pPr>
        <w:spacing w:line="700" w:lineRule="exact"/>
        <w:ind w:firstLine="280" w:firstLineChars="100"/>
        <w:rPr>
          <w:rFonts w:ascii="宋体"/>
          <w:sz w:val="28"/>
          <w:szCs w:val="28"/>
        </w:rPr>
      </w:pPr>
    </w:p>
    <w:p>
      <w:pPr>
        <w:spacing w:line="700" w:lineRule="exact"/>
        <w:ind w:firstLine="5320" w:firstLineChars="1900"/>
        <w:rPr>
          <w:rFonts w:ascii="宋体"/>
          <w:sz w:val="28"/>
          <w:szCs w:val="28"/>
        </w:rPr>
      </w:pPr>
      <w:r>
        <w:rPr>
          <w:rFonts w:hint="eastAsia" w:ascii="宋体"/>
          <w:sz w:val="28"/>
          <w:szCs w:val="28"/>
        </w:rPr>
        <w:t>投标人（盖单位章）：</w:t>
      </w:r>
    </w:p>
    <w:p>
      <w:pPr>
        <w:spacing w:line="700" w:lineRule="exact"/>
        <w:ind w:firstLine="4480" w:firstLineChars="1600"/>
        <w:rPr>
          <w:rFonts w:ascii="宋体"/>
          <w:sz w:val="28"/>
          <w:szCs w:val="28"/>
        </w:rPr>
      </w:pPr>
      <w:r>
        <w:rPr>
          <w:rFonts w:hint="eastAsia" w:ascii="宋体"/>
          <w:sz w:val="28"/>
          <w:szCs w:val="28"/>
        </w:rPr>
        <w:t xml:space="preserve">法定代表人（签字或盖章）：       </w:t>
      </w:r>
    </w:p>
    <w:p>
      <w:pPr>
        <w:spacing w:line="700" w:lineRule="exact"/>
        <w:ind w:firstLine="5320" w:firstLineChars="1900"/>
        <w:rPr>
          <w:rFonts w:ascii="宋体"/>
          <w:sz w:val="28"/>
          <w:szCs w:val="28"/>
        </w:rPr>
      </w:pPr>
      <w:r>
        <w:rPr>
          <w:rFonts w:hint="eastAsia" w:ascii="宋体"/>
          <w:sz w:val="28"/>
          <w:szCs w:val="28"/>
        </w:rPr>
        <w:t xml:space="preserve">委托代理人（签字）：        </w:t>
      </w:r>
    </w:p>
    <w:p>
      <w:pPr>
        <w:spacing w:line="700" w:lineRule="exact"/>
        <w:ind w:firstLine="2660" w:firstLineChars="950"/>
        <w:rPr>
          <w:rFonts w:ascii="宋体"/>
          <w:sz w:val="28"/>
          <w:szCs w:val="28"/>
        </w:rPr>
      </w:pPr>
      <w:r>
        <w:rPr>
          <w:rFonts w:hint="eastAsia" w:ascii="宋体"/>
          <w:sz w:val="28"/>
          <w:szCs w:val="28"/>
        </w:rPr>
        <w:t xml:space="preserve">                      年    月    日</w:t>
      </w:r>
    </w:p>
    <w:p>
      <w:pPr>
        <w:spacing w:line="700" w:lineRule="exact"/>
        <w:ind w:firstLine="2660" w:firstLineChars="950"/>
        <w:rPr>
          <w:rFonts w:ascii="宋体"/>
          <w:sz w:val="28"/>
          <w:szCs w:val="28"/>
        </w:rPr>
      </w:pPr>
    </w:p>
    <w:p>
      <w:pPr>
        <w:pStyle w:val="60"/>
        <w:spacing w:before="312" w:beforeLines="100" w:after="312" w:afterLines="100" w:line="480" w:lineRule="exact"/>
        <w:ind w:firstLine="2249" w:firstLineChars="700"/>
        <w:jc w:val="both"/>
        <w:rPr>
          <w:b/>
          <w:bCs/>
          <w:color w:val="auto"/>
          <w:kern w:val="2"/>
          <w:sz w:val="32"/>
          <w:szCs w:val="32"/>
        </w:rPr>
      </w:pPr>
    </w:p>
    <w:p>
      <w:pPr>
        <w:pStyle w:val="60"/>
        <w:spacing w:before="312" w:beforeLines="100" w:after="312" w:afterLines="100" w:line="480" w:lineRule="exact"/>
        <w:ind w:firstLine="2249" w:firstLineChars="700"/>
        <w:jc w:val="both"/>
        <w:rPr>
          <w:b/>
          <w:bCs/>
          <w:color w:val="auto"/>
          <w:kern w:val="2"/>
          <w:sz w:val="32"/>
          <w:szCs w:val="32"/>
        </w:rPr>
      </w:pPr>
      <w:r>
        <w:rPr>
          <w:rFonts w:hint="eastAsia"/>
          <w:b/>
          <w:bCs/>
          <w:color w:val="auto"/>
          <w:kern w:val="2"/>
          <w:sz w:val="32"/>
          <w:szCs w:val="32"/>
        </w:rPr>
        <w:br w:type="page"/>
      </w:r>
      <w:r>
        <w:rPr>
          <w:rFonts w:hint="eastAsia"/>
          <w:b/>
          <w:bCs/>
          <w:color w:val="auto"/>
          <w:kern w:val="2"/>
          <w:sz w:val="32"/>
          <w:szCs w:val="32"/>
        </w:rPr>
        <w:t>（3）诚信投标承诺书 </w:t>
      </w:r>
    </w:p>
    <w:p>
      <w:pPr>
        <w:spacing w:line="400" w:lineRule="exact"/>
        <w:ind w:firstLine="420" w:firstLineChars="200"/>
        <w:rPr>
          <w:rFonts w:ascii="宋体" w:hAnsi="宋体"/>
          <w:szCs w:val="21"/>
        </w:rPr>
      </w:pPr>
      <w:r>
        <w:rPr>
          <w:rFonts w:hint="eastAsia" w:ascii="宋体" w:hAnsi="宋体"/>
          <w:szCs w:val="21"/>
        </w:rPr>
        <w:t>本人以企业法定代表人的身份郑重承诺：</w:t>
      </w:r>
    </w:p>
    <w:p>
      <w:pPr>
        <w:spacing w:line="400" w:lineRule="exact"/>
        <w:ind w:firstLine="420" w:firstLineChars="200"/>
        <w:rPr>
          <w:rFonts w:ascii="宋体" w:hAnsi="宋体"/>
          <w:szCs w:val="21"/>
        </w:rPr>
      </w:pPr>
      <w:r>
        <w:rPr>
          <w:rFonts w:hint="eastAsia" w:ascii="宋体" w:hAnsi="宋体"/>
          <w:szCs w:val="21"/>
        </w:rPr>
        <w:t>一、将遵循公开、公正和诚实信用的原则自愿参加</w:t>
      </w:r>
      <w:r>
        <w:rPr>
          <w:rFonts w:hint="eastAsia" w:ascii="宋体" w:hAnsi="宋体"/>
          <w:szCs w:val="21"/>
          <w:u w:val="single"/>
        </w:rPr>
        <w:t xml:space="preserve">                   </w:t>
      </w:r>
      <w:r>
        <w:rPr>
          <w:rFonts w:hint="eastAsia" w:ascii="宋体" w:hAnsi="宋体"/>
          <w:szCs w:val="21"/>
        </w:rPr>
        <w:t>项目的投标；</w:t>
      </w:r>
    </w:p>
    <w:p>
      <w:pPr>
        <w:spacing w:line="400" w:lineRule="exact"/>
        <w:ind w:firstLine="420" w:firstLineChars="200"/>
        <w:rPr>
          <w:rFonts w:ascii="宋体" w:hAnsi="宋体"/>
          <w:szCs w:val="21"/>
        </w:rPr>
      </w:pPr>
      <w:r>
        <w:rPr>
          <w:rFonts w:hint="eastAsia" w:ascii="宋体" w:hAnsi="宋体"/>
          <w:szCs w:val="21"/>
        </w:rPr>
        <w:t>二、所提供的一切材料都是真实、有效、合法的；</w:t>
      </w:r>
    </w:p>
    <w:p>
      <w:pPr>
        <w:spacing w:line="400" w:lineRule="exact"/>
        <w:ind w:firstLine="420" w:firstLineChars="200"/>
        <w:rPr>
          <w:rFonts w:ascii="宋体" w:hAnsi="宋体"/>
          <w:szCs w:val="21"/>
        </w:rPr>
      </w:pPr>
      <w:r>
        <w:rPr>
          <w:rFonts w:hint="eastAsia" w:ascii="宋体" w:hAnsi="宋体"/>
          <w:szCs w:val="21"/>
        </w:rPr>
        <w:t>三、不出借、转让资质证书，不让他人挂靠投标，不以他人名义投标或者以其他方式弄虚作假，骗取中标；</w:t>
      </w:r>
    </w:p>
    <w:p>
      <w:pPr>
        <w:spacing w:line="400" w:lineRule="exact"/>
        <w:ind w:firstLine="420" w:firstLineChars="200"/>
        <w:rPr>
          <w:rFonts w:ascii="宋体" w:hAnsi="宋体"/>
          <w:szCs w:val="21"/>
        </w:rPr>
      </w:pPr>
      <w:r>
        <w:rPr>
          <w:rFonts w:hint="eastAsia" w:ascii="宋体" w:hAnsi="宋体"/>
          <w:szCs w:val="21"/>
        </w:rPr>
        <w:t>四、不与其他投标人相互串通投标报价，不排挤其他投标人的公平竞争、损害招标人的合法权益；</w:t>
      </w:r>
    </w:p>
    <w:p>
      <w:pPr>
        <w:spacing w:line="400" w:lineRule="exact"/>
        <w:ind w:firstLine="420" w:firstLineChars="200"/>
        <w:rPr>
          <w:rFonts w:ascii="宋体" w:hAnsi="宋体"/>
          <w:szCs w:val="21"/>
        </w:rPr>
      </w:pPr>
      <w:r>
        <w:rPr>
          <w:rFonts w:hint="eastAsia" w:ascii="宋体" w:hAnsi="宋体"/>
          <w:szCs w:val="21"/>
        </w:rPr>
        <w:t>五、不与招标人、招标代理机构或其他投标人串通投标，损害国家利益、社会公共利益或者他人的合法权益；</w:t>
      </w:r>
    </w:p>
    <w:p>
      <w:pPr>
        <w:spacing w:line="500" w:lineRule="exact"/>
        <w:ind w:firstLine="420" w:firstLineChars="200"/>
        <w:rPr>
          <w:rFonts w:ascii="宋体" w:hAnsi="宋体"/>
          <w:szCs w:val="21"/>
        </w:rPr>
      </w:pPr>
      <w:r>
        <w:rPr>
          <w:rFonts w:hint="eastAsia" w:ascii="宋体" w:hAnsi="宋体"/>
          <w:szCs w:val="21"/>
        </w:rPr>
        <w:t>六、投标企业及其法定代表人、拟任项目负责人没有下列情形：</w:t>
      </w:r>
      <w:r>
        <w:rPr>
          <w:rFonts w:hint="eastAsia" w:ascii="宋体" w:hAnsi="宋体"/>
          <w:color w:val="000000"/>
          <w:szCs w:val="21"/>
        </w:rPr>
        <w:t>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w:t>
      </w:r>
      <w:r>
        <w:rPr>
          <w:rFonts w:hint="eastAsia" w:ascii="宋体" w:hAnsi="宋体"/>
          <w:color w:val="000000"/>
          <w:szCs w:val="21"/>
          <w:lang w:val="en-US" w:eastAsia="zh-CN"/>
        </w:rPr>
        <w:t>7</w:t>
      </w:r>
      <w:r>
        <w:rPr>
          <w:rFonts w:hint="eastAsia" w:ascii="宋体" w:hAnsi="宋体"/>
          <w:color w:val="000000"/>
          <w:szCs w:val="21"/>
        </w:rPr>
        <w:t>项信誉要求，在此一并承诺我公司所属分公司、办事处等分支机构没有上述1-</w:t>
      </w:r>
      <w:r>
        <w:rPr>
          <w:rFonts w:hint="eastAsia" w:ascii="宋体" w:hAnsi="宋体"/>
          <w:color w:val="000000"/>
          <w:szCs w:val="21"/>
          <w:lang w:val="en-US" w:eastAsia="zh-CN"/>
        </w:rPr>
        <w:t>7</w:t>
      </w:r>
      <w:r>
        <w:rPr>
          <w:rFonts w:hint="eastAsia" w:ascii="宋体" w:hAnsi="宋体"/>
          <w:color w:val="000000"/>
          <w:szCs w:val="21"/>
        </w:rPr>
        <w:t>项情形）</w:t>
      </w:r>
    </w:p>
    <w:p>
      <w:pPr>
        <w:spacing w:line="400" w:lineRule="exact"/>
        <w:ind w:firstLine="420" w:firstLineChars="200"/>
        <w:rPr>
          <w:rFonts w:ascii="宋体" w:hAnsi="宋体"/>
          <w:szCs w:val="21"/>
        </w:rPr>
      </w:pPr>
      <w:r>
        <w:rPr>
          <w:rFonts w:hint="eastAsia" w:ascii="宋体" w:hAnsi="宋体"/>
          <w:szCs w:val="21"/>
        </w:rPr>
        <w:t>七、严格遵守开标现场纪律，服从监管人员管理；</w:t>
      </w:r>
    </w:p>
    <w:p>
      <w:pPr>
        <w:spacing w:line="400" w:lineRule="exact"/>
        <w:ind w:firstLine="420" w:firstLineChars="200"/>
        <w:rPr>
          <w:rFonts w:ascii="宋体" w:hAnsi="宋体"/>
          <w:szCs w:val="21"/>
        </w:rPr>
      </w:pPr>
      <w:r>
        <w:rPr>
          <w:rFonts w:hint="eastAsia" w:ascii="宋体" w:hAnsi="宋体"/>
          <w:szCs w:val="21"/>
        </w:rPr>
        <w:t>八、保证中标后不转包；</w:t>
      </w:r>
    </w:p>
    <w:p>
      <w:pPr>
        <w:spacing w:line="400" w:lineRule="exact"/>
        <w:ind w:firstLine="420" w:firstLineChars="200"/>
        <w:rPr>
          <w:rFonts w:ascii="宋体" w:hAnsi="宋体"/>
          <w:szCs w:val="21"/>
        </w:rPr>
      </w:pPr>
      <w:r>
        <w:rPr>
          <w:rFonts w:hint="eastAsia" w:ascii="宋体" w:hAnsi="宋体"/>
          <w:szCs w:val="21"/>
        </w:rPr>
        <w:t>九、保证中标之后，按照投标文件承诺提供服务，如有违反，同意接受建设单位违约处罚；</w:t>
      </w:r>
    </w:p>
    <w:p>
      <w:pPr>
        <w:spacing w:line="400" w:lineRule="exact"/>
        <w:ind w:firstLine="420" w:firstLineChars="200"/>
        <w:rPr>
          <w:rFonts w:ascii="宋体" w:hAnsi="宋体"/>
          <w:szCs w:val="21"/>
        </w:rPr>
      </w:pPr>
      <w:r>
        <w:rPr>
          <w:rFonts w:hint="eastAsia" w:ascii="宋体" w:hAnsi="宋体"/>
          <w:szCs w:val="21"/>
        </w:rPr>
        <w:t>十、保证企业及所属相关人员在本次投标中无行贿等犯罪行为；</w:t>
      </w:r>
    </w:p>
    <w:p>
      <w:pPr>
        <w:spacing w:line="400" w:lineRule="exact"/>
        <w:ind w:firstLine="420" w:firstLineChars="200"/>
        <w:rPr>
          <w:rFonts w:ascii="宋体" w:hAnsi="宋体"/>
          <w:szCs w:val="21"/>
        </w:rPr>
      </w:pPr>
      <w:r>
        <w:rPr>
          <w:rFonts w:hint="eastAsia" w:ascii="宋体" w:hAnsi="宋体"/>
          <w:szCs w:val="21"/>
        </w:rPr>
        <w:t>十一、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pPr>
        <w:spacing w:line="400" w:lineRule="exact"/>
        <w:ind w:firstLine="420" w:firstLineChars="200"/>
        <w:rPr>
          <w:rFonts w:ascii="宋体" w:hAnsi="宋体"/>
          <w:szCs w:val="21"/>
        </w:rPr>
      </w:pPr>
      <w:r>
        <w:rPr>
          <w:rFonts w:hint="eastAsia" w:ascii="宋体" w:hAnsi="宋体"/>
          <w:szCs w:val="21"/>
        </w:rPr>
        <w:t xml:space="preserve"> 以上内容我已仔细阅读，本公司若有违反承诺内容的行为，自愿依法接受取消投标资格、记入信用档案、取消中标资格、不予退还投标保证金等有关处理，愿意承担法律责任，给招标人造成损失的，依法承担赔偿责任。</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投标人（盖章）：                      法定代表人（签字或盖章）：</w:t>
      </w:r>
    </w:p>
    <w:p>
      <w:pPr>
        <w:spacing w:line="500" w:lineRule="exact"/>
        <w:ind w:firstLine="3360" w:firstLineChars="1600"/>
        <w:rPr>
          <w:rFonts w:ascii="宋体" w:hAnsi="宋体"/>
          <w:szCs w:val="21"/>
        </w:rPr>
      </w:pPr>
    </w:p>
    <w:p>
      <w:pPr>
        <w:spacing w:line="500" w:lineRule="exact"/>
        <w:ind w:firstLine="3360" w:firstLineChars="1600"/>
        <w:rPr>
          <w:rFonts w:ascii="宋体" w:hAnsi="宋体" w:cs="宋体"/>
          <w:color w:val="000000"/>
          <w:kern w:val="0"/>
          <w:sz w:val="24"/>
        </w:rPr>
      </w:pPr>
      <w:r>
        <w:rPr>
          <w:rFonts w:hint="eastAsia" w:ascii="宋体" w:hAnsi="宋体"/>
          <w:szCs w:val="21"/>
        </w:rPr>
        <w:t>日期：</w:t>
      </w:r>
      <w:r>
        <w:rPr>
          <w:rFonts w:ascii="宋体" w:hAnsi="宋体"/>
          <w:szCs w:val="21"/>
          <w:u w:val="single"/>
        </w:rPr>
        <w:t xml:space="preserve">           </w:t>
      </w:r>
      <w:r>
        <w:rPr>
          <w:rFonts w:hint="eastAsia" w:ascii="宋体" w:hAnsi="宋体"/>
          <w:szCs w:val="21"/>
        </w:rPr>
        <w:t>年</w:t>
      </w:r>
      <w:r>
        <w:rPr>
          <w:rFonts w:ascii="宋体" w:hAnsi="宋体"/>
          <w:szCs w:val="21"/>
        </w:rPr>
        <w:t xml:space="preserve"> </w:t>
      </w:r>
      <w:r>
        <w:rPr>
          <w:rFonts w:ascii="宋体" w:hAnsi="宋体"/>
          <w:szCs w:val="21"/>
          <w:u w:val="single"/>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hint="eastAsia" w:ascii="宋体" w:hAnsi="宋体"/>
          <w:szCs w:val="21"/>
        </w:rPr>
        <w:t>日</w:t>
      </w:r>
      <w:bookmarkEnd w:id="36"/>
      <w:bookmarkStart w:id="37" w:name="_Toc324404893"/>
      <w:bookmarkStart w:id="38" w:name="_Toc11719"/>
    </w:p>
    <w:bookmarkEnd w:id="37"/>
    <w:bookmarkEnd w:id="38"/>
    <w:p>
      <w:pPr>
        <w:pStyle w:val="13"/>
      </w:pPr>
    </w:p>
    <w:p>
      <w:pPr>
        <w:spacing w:line="360" w:lineRule="auto"/>
        <w:jc w:val="center"/>
        <w:rPr>
          <w:b/>
          <w:bCs/>
          <w:sz w:val="36"/>
          <w:szCs w:val="21"/>
        </w:rPr>
      </w:pPr>
      <w:r>
        <w:rPr>
          <w:rFonts w:hint="eastAsia"/>
          <w:b/>
          <w:sz w:val="28"/>
          <w:szCs w:val="28"/>
          <w:lang w:eastAsia="zh-CN"/>
        </w:rPr>
        <w:t>（</w:t>
      </w:r>
      <w:r>
        <w:rPr>
          <w:rFonts w:hint="eastAsia"/>
          <w:b/>
          <w:sz w:val="28"/>
          <w:szCs w:val="28"/>
          <w:lang w:val="en-US" w:eastAsia="zh-CN"/>
        </w:rPr>
        <w:t>4）</w:t>
      </w:r>
      <w:r>
        <w:rPr>
          <w:rFonts w:hint="eastAsia"/>
          <w:b/>
          <w:sz w:val="28"/>
          <w:szCs w:val="28"/>
        </w:rPr>
        <w:t>投 标 函</w:t>
      </w:r>
    </w:p>
    <w:p>
      <w:pPr>
        <w:spacing w:line="6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(招标单位) </w:t>
      </w:r>
      <w:r>
        <w:rPr>
          <w:rFonts w:hint="eastAsia" w:ascii="宋体" w:hAnsi="宋体" w:cs="宋体"/>
          <w:sz w:val="24"/>
        </w:rPr>
        <w:t xml:space="preserve">       </w:t>
      </w:r>
    </w:p>
    <w:p>
      <w:pPr>
        <w:spacing w:line="600" w:lineRule="exact"/>
        <w:ind w:firstLine="480" w:firstLineChars="200"/>
        <w:rPr>
          <w:rFonts w:ascii="宋体" w:hAnsi="宋体" w:cs="宋体"/>
          <w:sz w:val="24"/>
        </w:rPr>
      </w:pPr>
      <w:r>
        <w:rPr>
          <w:rFonts w:hint="eastAsia" w:ascii="宋体" w:hAnsi="宋体" w:cs="宋体"/>
          <w:sz w:val="24"/>
        </w:rPr>
        <w:t>1、我们决定参加贵单位组织的“</w:t>
      </w:r>
      <w:r>
        <w:rPr>
          <w:rFonts w:hint="eastAsia" w:ascii="宋体" w:hAnsi="宋体" w:cs="宋体"/>
          <w:sz w:val="24"/>
          <w:u w:val="single"/>
        </w:rPr>
        <w:t xml:space="preserve"> （项目名称）             </w:t>
      </w:r>
      <w:r>
        <w:rPr>
          <w:rFonts w:hint="eastAsia" w:ascii="宋体" w:hAnsi="宋体" w:cs="宋体"/>
          <w:sz w:val="24"/>
        </w:rPr>
        <w:t xml:space="preserve">）”的招标。我方授权 </w:t>
      </w:r>
      <w:r>
        <w:rPr>
          <w:rFonts w:hint="eastAsia" w:ascii="宋体" w:hAnsi="宋体" w:cs="宋体"/>
          <w:sz w:val="24"/>
          <w:u w:val="single"/>
        </w:rPr>
        <w:t xml:space="preserve">              </w:t>
      </w:r>
      <w:r>
        <w:rPr>
          <w:rFonts w:hint="eastAsia" w:ascii="宋体" w:hAnsi="宋体" w:cs="宋体"/>
          <w:sz w:val="24"/>
        </w:rPr>
        <w:t>(姓名和职务)代表我方</w:t>
      </w:r>
      <w:r>
        <w:rPr>
          <w:rFonts w:hint="eastAsia" w:ascii="宋体" w:hAnsi="宋体" w:cs="宋体"/>
          <w:sz w:val="24"/>
          <w:u w:val="single"/>
        </w:rPr>
        <w:t xml:space="preserve">               </w:t>
      </w:r>
      <w:r>
        <w:rPr>
          <w:rFonts w:hint="eastAsia" w:ascii="宋体" w:hAnsi="宋体" w:cs="宋体"/>
          <w:sz w:val="24"/>
        </w:rPr>
        <w:t>（投标单位的名称）全权处理本项目选取的有关事宜。</w:t>
      </w:r>
    </w:p>
    <w:p>
      <w:pPr>
        <w:spacing w:line="600" w:lineRule="exact"/>
        <w:ind w:firstLine="480" w:firstLineChars="200"/>
        <w:rPr>
          <w:rFonts w:ascii="宋体" w:hAnsi="宋体" w:cs="宋体"/>
          <w:sz w:val="24"/>
        </w:rPr>
      </w:pPr>
      <w:r>
        <w:rPr>
          <w:rFonts w:hint="eastAsia" w:ascii="宋体" w:hAnsi="宋体" w:cs="宋体"/>
          <w:sz w:val="24"/>
        </w:rPr>
        <w:t>2、我方承诺按</w:t>
      </w:r>
      <w:r>
        <w:rPr>
          <w:rFonts w:hint="eastAsia" w:ascii="宋体" w:hAnsi="宋体" w:cs="宋体"/>
          <w:sz w:val="24"/>
          <w:lang w:eastAsia="zh-CN"/>
        </w:rPr>
        <w:t>招标</w:t>
      </w:r>
      <w:r>
        <w:rPr>
          <w:rFonts w:hint="eastAsia" w:ascii="宋体" w:hAnsi="宋体" w:cs="宋体"/>
          <w:sz w:val="24"/>
        </w:rPr>
        <w:t>文件及相关规定完成相关工作并提交合格工作成果。</w:t>
      </w:r>
    </w:p>
    <w:p>
      <w:pPr>
        <w:spacing w:line="600" w:lineRule="exact"/>
        <w:ind w:firstLine="480" w:firstLineChars="200"/>
        <w:rPr>
          <w:rFonts w:ascii="宋体" w:hAnsi="宋体" w:cs="宋体"/>
          <w:sz w:val="24"/>
        </w:rPr>
      </w:pPr>
      <w:r>
        <w:rPr>
          <w:rFonts w:hint="eastAsia" w:ascii="宋体" w:hAnsi="宋体" w:cs="宋体"/>
          <w:color w:val="FF0000"/>
          <w:sz w:val="24"/>
        </w:rPr>
        <w:t>3、</w:t>
      </w:r>
      <w:r>
        <w:rPr>
          <w:rFonts w:hint="eastAsia" w:ascii="宋体" w:hAnsi="宋体" w:cs="宋体"/>
          <w:b/>
          <w:bCs/>
          <w:color w:val="FF0000"/>
          <w:sz w:val="24"/>
        </w:rPr>
        <w:t>我方承诺跟踪(结算)审计服务固定费用</w:t>
      </w:r>
      <w:r>
        <w:rPr>
          <w:rFonts w:hint="eastAsia" w:ascii="宋体" w:hAnsi="宋体" w:cs="宋体"/>
          <w:b/>
          <w:bCs/>
          <w:color w:val="FF0000"/>
          <w:sz w:val="24"/>
          <w:u w:val="none"/>
          <w:lang w:eastAsia="zh-CN"/>
        </w:rPr>
        <w:t>：</w:t>
      </w:r>
      <w:r>
        <w:rPr>
          <w:rFonts w:hint="eastAsia" w:ascii="宋体" w:hAnsi="宋体" w:cs="宋体"/>
          <w:b/>
          <w:bCs/>
          <w:color w:val="FF0000"/>
          <w:sz w:val="24"/>
          <w:u w:val="single"/>
        </w:rPr>
        <w:t xml:space="preserve">  </w:t>
      </w:r>
      <w:r>
        <w:rPr>
          <w:rFonts w:hint="eastAsia" w:ascii="宋体" w:hAnsi="宋体" w:cs="宋体"/>
          <w:b/>
          <w:bCs/>
          <w:color w:val="FF0000"/>
          <w:sz w:val="24"/>
          <w:u w:val="single"/>
          <w:lang w:val="en-US" w:eastAsia="zh-CN"/>
        </w:rPr>
        <w:t>壹拾万元</w:t>
      </w:r>
      <w:r>
        <w:rPr>
          <w:rFonts w:hint="eastAsia" w:ascii="宋体" w:hAnsi="宋体" w:cs="宋体"/>
          <w:b/>
          <w:bCs/>
          <w:color w:val="FF0000"/>
          <w:sz w:val="24"/>
          <w:u w:val="single"/>
        </w:rPr>
        <w:t xml:space="preserve"> </w:t>
      </w:r>
      <w:r>
        <w:rPr>
          <w:rFonts w:hint="eastAsia" w:ascii="宋体" w:hAnsi="宋体" w:cs="宋体"/>
          <w:b/>
          <w:bCs/>
          <w:color w:val="FF0000"/>
          <w:sz w:val="24"/>
          <w:u w:val="single"/>
          <w:lang w:val="en-US" w:eastAsia="zh-CN"/>
        </w:rPr>
        <w:t xml:space="preserve"> </w:t>
      </w:r>
      <w:r>
        <w:rPr>
          <w:rFonts w:hint="eastAsia" w:ascii="宋体" w:hAnsi="宋体" w:cs="宋体"/>
          <w:b/>
          <w:bCs/>
          <w:color w:val="FF0000"/>
          <w:sz w:val="24"/>
        </w:rPr>
        <w:t>不作调整，</w:t>
      </w:r>
      <w:r>
        <w:rPr>
          <w:rFonts w:hint="eastAsia" w:ascii="宋体" w:hAnsi="宋体" w:cs="宋体"/>
          <w:b/>
          <w:bCs/>
          <w:sz w:val="24"/>
        </w:rPr>
        <w:t>并完全接受付款方式和工期等条款。</w:t>
      </w:r>
    </w:p>
    <w:p>
      <w:pPr>
        <w:spacing w:line="600" w:lineRule="exact"/>
        <w:ind w:firstLine="480" w:firstLineChars="200"/>
        <w:jc w:val="left"/>
        <w:rPr>
          <w:rFonts w:ascii="宋体" w:hAnsi="宋体" w:cs="宋体"/>
          <w:sz w:val="24"/>
        </w:rPr>
      </w:pPr>
      <w:r>
        <w:rPr>
          <w:rFonts w:hint="eastAsia" w:ascii="宋体" w:hAnsi="宋体" w:cs="宋体"/>
          <w:sz w:val="24"/>
        </w:rPr>
        <w:t>4、如我方中标，我方拟派</w:t>
      </w:r>
      <w:r>
        <w:rPr>
          <w:rFonts w:hint="eastAsia" w:ascii="宋体" w:hAnsi="宋体" w:cs="宋体"/>
          <w:sz w:val="24"/>
          <w:u w:val="single"/>
        </w:rPr>
        <w:t xml:space="preserve">      </w:t>
      </w:r>
      <w:r>
        <w:rPr>
          <w:rFonts w:hint="eastAsia" w:ascii="宋体" w:hAnsi="宋体" w:cs="宋体"/>
          <w:sz w:val="24"/>
        </w:rPr>
        <w:t>为本项目负责人，在完成相关工作并提交合格工作成果前不予变更。</w:t>
      </w:r>
    </w:p>
    <w:p>
      <w:pPr>
        <w:spacing w:line="600" w:lineRule="exact"/>
        <w:ind w:firstLine="480" w:firstLineChars="200"/>
        <w:jc w:val="left"/>
        <w:rPr>
          <w:rFonts w:ascii="宋体" w:hAnsi="宋体" w:cs="宋体"/>
          <w:sz w:val="24"/>
        </w:rPr>
      </w:pPr>
      <w:r>
        <w:rPr>
          <w:rFonts w:hint="eastAsia" w:ascii="宋体" w:hAnsi="宋体" w:cs="宋体"/>
          <w:sz w:val="24"/>
        </w:rPr>
        <w:t>5、一旦我方成为合同签字人，我方将严格履行合同规定的责任和义务。</w:t>
      </w:r>
    </w:p>
    <w:p>
      <w:pPr>
        <w:spacing w:line="600" w:lineRule="exact"/>
        <w:ind w:firstLine="480" w:firstLineChars="200"/>
        <w:rPr>
          <w:rFonts w:ascii="宋体" w:hAnsi="宋体" w:cs="宋体"/>
          <w:sz w:val="24"/>
        </w:rPr>
      </w:pPr>
      <w:r>
        <w:rPr>
          <w:rFonts w:hint="eastAsia" w:ascii="宋体" w:hAnsi="宋体" w:cs="宋体"/>
          <w:sz w:val="24"/>
        </w:rPr>
        <w:t>6、在正式签订合同协议书之前，本投标书连同贵单位的中标通知书成为约束贵单位、我单位双方的合同文件。</w:t>
      </w:r>
    </w:p>
    <w:p>
      <w:pPr>
        <w:spacing w:line="600" w:lineRule="exact"/>
        <w:ind w:firstLine="240" w:firstLineChars="100"/>
        <w:rPr>
          <w:rFonts w:ascii="宋体" w:hAnsi="宋体" w:cs="宋体"/>
          <w:sz w:val="24"/>
        </w:rPr>
      </w:pPr>
      <w:r>
        <w:rPr>
          <w:rFonts w:hint="eastAsia" w:ascii="宋体" w:hAnsi="宋体" w:cs="宋体"/>
          <w:sz w:val="24"/>
        </w:rPr>
        <w:t xml:space="preserve"> 7、如果我方在接到中标通知书后</w:t>
      </w:r>
      <w:r>
        <w:rPr>
          <w:rFonts w:hint="eastAsia" w:ascii="宋体" w:hAnsi="宋体" w:cs="宋体"/>
          <w:sz w:val="24"/>
          <w:u w:val="single"/>
        </w:rPr>
        <w:t>7个工作日内</w:t>
      </w:r>
      <w:r>
        <w:rPr>
          <w:rFonts w:hint="eastAsia" w:ascii="宋体" w:hAnsi="宋体" w:cs="宋体"/>
          <w:sz w:val="24"/>
        </w:rPr>
        <w:t>未能或拒绝与贵方签订合同协议书，贵方有权并依序确定其他中标候选人为中标人。</w:t>
      </w:r>
    </w:p>
    <w:p>
      <w:pPr>
        <w:spacing w:line="700" w:lineRule="exact"/>
        <w:ind w:firstLine="3360" w:firstLineChars="1400"/>
        <w:jc w:val="left"/>
        <w:rPr>
          <w:rFonts w:ascii="宋体" w:hAnsi="宋体"/>
          <w:sz w:val="24"/>
        </w:rPr>
      </w:pPr>
    </w:p>
    <w:p>
      <w:pPr>
        <w:spacing w:line="700" w:lineRule="exact"/>
        <w:ind w:firstLine="3360" w:firstLineChars="1400"/>
        <w:jc w:val="left"/>
        <w:rPr>
          <w:rFonts w:ascii="宋体"/>
          <w:sz w:val="24"/>
          <w:u w:val="single"/>
        </w:rPr>
      </w:pPr>
      <w:r>
        <w:rPr>
          <w:rFonts w:hint="eastAsia" w:ascii="宋体" w:hAnsi="宋体"/>
          <w:sz w:val="24"/>
        </w:rPr>
        <w:t>投标单位：</w:t>
      </w:r>
      <w:r>
        <w:rPr>
          <w:rFonts w:ascii="宋体" w:hAnsi="宋体"/>
          <w:sz w:val="24"/>
          <w:u w:val="single"/>
        </w:rPr>
        <w:t xml:space="preserve">                         </w:t>
      </w:r>
      <w:r>
        <w:rPr>
          <w:rFonts w:hint="eastAsia"/>
          <w:sz w:val="24"/>
          <w:u w:val="single"/>
        </w:rPr>
        <w:t>（</w:t>
      </w:r>
      <w:r>
        <w:rPr>
          <w:rFonts w:hint="eastAsia" w:ascii="宋体" w:hAnsi="宋体"/>
          <w:bCs/>
          <w:sz w:val="24"/>
          <w:u w:val="single"/>
        </w:rPr>
        <w:t>盖章</w:t>
      </w:r>
      <w:r>
        <w:rPr>
          <w:rFonts w:hint="eastAsia"/>
          <w:sz w:val="24"/>
          <w:u w:val="single"/>
        </w:rPr>
        <w:t>）</w:t>
      </w:r>
    </w:p>
    <w:p>
      <w:pPr>
        <w:spacing w:line="700" w:lineRule="exact"/>
        <w:ind w:firstLine="3360" w:firstLineChars="1400"/>
        <w:jc w:val="left"/>
        <w:rPr>
          <w:rFonts w:asci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（签字或盖章）</w:t>
      </w:r>
    </w:p>
    <w:p>
      <w:pPr>
        <w:spacing w:line="700" w:lineRule="exact"/>
        <w:ind w:firstLine="3360" w:firstLineChars="1400"/>
        <w:jc w:val="left"/>
        <w:rPr>
          <w:rFonts w:ascii="宋体"/>
          <w:sz w:val="24"/>
        </w:rPr>
      </w:pPr>
      <w:r>
        <w:rPr>
          <w:rFonts w:hint="eastAsia" w:ascii="宋体" w:hAnsi="宋体"/>
          <w:sz w:val="24"/>
        </w:rPr>
        <w:t>单位地址：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700" w:lineRule="exact"/>
        <w:ind w:firstLine="3360" w:firstLineChars="1400"/>
        <w:jc w:val="left"/>
        <w:rPr>
          <w:rFonts w:ascii="宋体"/>
          <w:sz w:val="24"/>
          <w:u w:val="single"/>
        </w:rPr>
      </w:pPr>
      <w:r>
        <w:rPr>
          <w:rFonts w:hint="eastAsia" w:ascii="宋体" w:hAnsi="宋体"/>
          <w:sz w:val="24"/>
        </w:rPr>
        <w:t>邮政编码：</w:t>
      </w:r>
      <w:r>
        <w:rPr>
          <w:rFonts w:ascii="宋体" w:hAnsi="宋体"/>
          <w:sz w:val="24"/>
          <w:u w:val="single"/>
        </w:rPr>
        <w:t xml:space="preserve">            </w:t>
      </w:r>
      <w:r>
        <w:rPr>
          <w:rFonts w:hint="eastAsia" w:ascii="宋体" w:hAnsi="宋体"/>
          <w:sz w:val="24"/>
        </w:rPr>
        <w:t>电话：</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p>
    <w:p>
      <w:pPr>
        <w:spacing w:line="700" w:lineRule="exact"/>
        <w:ind w:firstLine="3360" w:firstLineChars="1400"/>
        <w:jc w:val="left"/>
        <w:rPr>
          <w:b/>
          <w:sz w:val="32"/>
          <w:szCs w:val="32"/>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rPr>
        <w:t>日</w:t>
      </w:r>
    </w:p>
    <w:p>
      <w:pPr>
        <w:spacing w:line="480" w:lineRule="exact"/>
        <w:rPr>
          <w:b/>
          <w:sz w:val="24"/>
        </w:rPr>
      </w:pPr>
      <w:r>
        <w:rPr>
          <w:rFonts w:hint="eastAsia"/>
          <w:b/>
          <w:sz w:val="32"/>
          <w:szCs w:val="32"/>
        </w:rPr>
        <w:br w:type="page"/>
      </w:r>
      <w:r>
        <w:rPr>
          <w:rFonts w:hint="eastAsia"/>
          <w:b/>
          <w:sz w:val="24"/>
        </w:rPr>
        <w:t>附件1</w:t>
      </w:r>
    </w:p>
    <w:p>
      <w:pPr>
        <w:spacing w:line="480" w:lineRule="exact"/>
        <w:rPr>
          <w:sz w:val="18"/>
          <w:szCs w:val="21"/>
        </w:rPr>
      </w:pPr>
    </w:p>
    <w:p>
      <w:pPr>
        <w:spacing w:line="480" w:lineRule="exact"/>
        <w:jc w:val="center"/>
        <w:rPr>
          <w:rFonts w:ascii="黑体" w:hAnsi="黑体" w:eastAsia="黑体"/>
          <w:b/>
          <w:sz w:val="28"/>
          <w:szCs w:val="28"/>
        </w:rPr>
      </w:pPr>
      <w:r>
        <w:rPr>
          <w:rFonts w:ascii="黑体" w:hAnsi="黑体" w:eastAsia="黑体"/>
          <w:b/>
          <w:sz w:val="28"/>
          <w:szCs w:val="28"/>
        </w:rPr>
        <w:t>关于联合惩戒失信行为</w:t>
      </w:r>
      <w:r>
        <w:rPr>
          <w:rFonts w:hint="eastAsia" w:ascii="黑体" w:hAnsi="黑体" w:eastAsia="黑体"/>
          <w:b/>
          <w:sz w:val="28"/>
          <w:szCs w:val="28"/>
        </w:rPr>
        <w:t xml:space="preserve"> </w:t>
      </w:r>
      <w:r>
        <w:rPr>
          <w:rFonts w:ascii="黑体" w:hAnsi="黑体" w:eastAsia="黑体"/>
          <w:b/>
          <w:sz w:val="28"/>
          <w:szCs w:val="28"/>
        </w:rPr>
        <w:t>加强信用查询管理的</w:t>
      </w:r>
      <w:r>
        <w:rPr>
          <w:rFonts w:hint="eastAsia" w:ascii="黑体" w:hAnsi="黑体" w:eastAsia="黑体"/>
          <w:b/>
          <w:sz w:val="28"/>
          <w:szCs w:val="28"/>
        </w:rPr>
        <w:t>通知</w:t>
      </w:r>
    </w:p>
    <w:p>
      <w:pPr>
        <w:spacing w:line="480" w:lineRule="exact"/>
        <w:ind w:firstLine="420" w:firstLineChars="200"/>
        <w:rPr>
          <w:rFonts w:ascii="宋体" w:hAnsi="宋体"/>
          <w:bCs/>
          <w:szCs w:val="21"/>
        </w:rPr>
      </w:pPr>
      <w:r>
        <w:rPr>
          <w:rFonts w:hint="eastAsia" w:ascii="宋体" w:hAnsi="宋体"/>
          <w:bCs/>
          <w:szCs w:val="21"/>
        </w:rPr>
        <w:t>一、失信行为联合惩戒的范围和查询渠道</w:t>
      </w:r>
    </w:p>
    <w:p>
      <w:pPr>
        <w:spacing w:line="480" w:lineRule="exact"/>
        <w:ind w:firstLine="420" w:firstLineChars="200"/>
        <w:rPr>
          <w:rFonts w:ascii="宋体" w:hAnsi="宋体"/>
          <w:bCs/>
          <w:szCs w:val="21"/>
        </w:rPr>
      </w:pPr>
      <w:r>
        <w:rPr>
          <w:rFonts w:hint="eastAsia" w:ascii="宋体" w:hAnsi="宋体"/>
          <w:bCs/>
          <w:szCs w:val="21"/>
        </w:rPr>
        <w:t>在我市公共资源交易活动中对存在下列失信行为的供应商、法定代表人及其项目负责人实施联合惩戒，禁止参与我市公共资源交易活动。</w:t>
      </w:r>
    </w:p>
    <w:p>
      <w:pPr>
        <w:spacing w:line="480" w:lineRule="exact"/>
        <w:ind w:firstLine="420" w:firstLineChars="200"/>
        <w:rPr>
          <w:rFonts w:ascii="宋体" w:hAnsi="宋体"/>
          <w:bCs/>
          <w:szCs w:val="21"/>
        </w:rPr>
      </w:pPr>
      <w:r>
        <w:rPr>
          <w:rFonts w:hint="eastAsia" w:ascii="宋体" w:hAnsi="宋体"/>
          <w:bCs/>
          <w:szCs w:val="21"/>
        </w:rPr>
        <w:t>（一）工程建设项目</w:t>
      </w:r>
    </w:p>
    <w:p>
      <w:pPr>
        <w:spacing w:line="480" w:lineRule="exact"/>
        <w:ind w:firstLine="420" w:firstLineChars="200"/>
        <w:rPr>
          <w:rFonts w:ascii="宋体" w:hAnsi="宋体"/>
          <w:bCs/>
          <w:szCs w:val="21"/>
        </w:rPr>
      </w:pPr>
      <w:r>
        <w:rPr>
          <w:rFonts w:hint="eastAsia" w:ascii="宋体" w:hAnsi="宋体"/>
          <w:bCs/>
          <w:szCs w:val="21"/>
        </w:rPr>
        <w:t>1、“信用中国”网站（www.creditchina.gov.cn）查询以下失信行为：</w:t>
      </w:r>
    </w:p>
    <w:p>
      <w:pPr>
        <w:spacing w:line="480" w:lineRule="exact"/>
        <w:ind w:firstLine="420" w:firstLineChars="200"/>
        <w:rPr>
          <w:rFonts w:ascii="宋体" w:hAnsi="宋体"/>
          <w:bCs/>
          <w:szCs w:val="21"/>
        </w:rPr>
      </w:pPr>
      <w:r>
        <w:rPr>
          <w:rFonts w:hint="eastAsia" w:ascii="宋体" w:hAnsi="宋体"/>
          <w:bCs/>
          <w:szCs w:val="21"/>
        </w:rPr>
        <w:t>①供应商被人民法院列入失信被执行人的；</w:t>
      </w:r>
    </w:p>
    <w:p>
      <w:pPr>
        <w:spacing w:line="480" w:lineRule="exact"/>
        <w:ind w:firstLine="420" w:firstLineChars="200"/>
        <w:rPr>
          <w:rFonts w:ascii="宋体" w:hAnsi="宋体"/>
          <w:bCs/>
          <w:szCs w:val="21"/>
        </w:rPr>
      </w:pPr>
      <w:r>
        <w:rPr>
          <w:rFonts w:hint="eastAsia" w:ascii="宋体" w:hAnsi="宋体"/>
          <w:bCs/>
          <w:szCs w:val="21"/>
        </w:rPr>
        <w:t>②供应商被税务部门列入重大税收违法案件当事人的；</w:t>
      </w:r>
    </w:p>
    <w:p>
      <w:pPr>
        <w:spacing w:line="480" w:lineRule="exact"/>
        <w:ind w:firstLine="420" w:firstLineChars="200"/>
        <w:rPr>
          <w:rFonts w:ascii="宋体" w:hAnsi="宋体"/>
          <w:bCs/>
          <w:szCs w:val="21"/>
        </w:rPr>
      </w:pPr>
      <w:r>
        <w:rPr>
          <w:rFonts w:hint="eastAsia" w:ascii="宋体" w:hAnsi="宋体"/>
          <w:bCs/>
          <w:szCs w:val="21"/>
        </w:rPr>
        <w:t>③供应商被人力资源社会保障行政部门列入拖欠农民工工资“黑名单”的；</w:t>
      </w:r>
    </w:p>
    <w:p>
      <w:pPr>
        <w:spacing w:line="480" w:lineRule="exact"/>
        <w:ind w:firstLine="420" w:firstLineChars="200"/>
        <w:rPr>
          <w:rFonts w:ascii="宋体" w:hAnsi="宋体"/>
          <w:bCs/>
          <w:szCs w:val="21"/>
        </w:rPr>
      </w:pPr>
      <w:r>
        <w:rPr>
          <w:rFonts w:hint="eastAsia" w:ascii="宋体" w:hAnsi="宋体"/>
          <w:bCs/>
          <w:szCs w:val="21"/>
        </w:rPr>
        <w:t>④在“信用中国”网站上披露的仍在公示期的严重失信行为的。</w:t>
      </w:r>
    </w:p>
    <w:p>
      <w:pPr>
        <w:spacing w:line="480" w:lineRule="exact"/>
        <w:ind w:firstLine="420" w:firstLineChars="200"/>
        <w:rPr>
          <w:rFonts w:ascii="宋体" w:hAnsi="宋体"/>
          <w:bCs/>
          <w:szCs w:val="21"/>
        </w:rPr>
      </w:pPr>
      <w:r>
        <w:rPr>
          <w:rFonts w:hint="eastAsia" w:ascii="宋体" w:hAnsi="宋体"/>
          <w:bCs/>
          <w:szCs w:val="21"/>
        </w:rPr>
        <w:t>2、国家企业信用信息公示系统网站（www.gsxt.gov.cn）查询以下失信行为：</w:t>
      </w:r>
    </w:p>
    <w:p>
      <w:pPr>
        <w:spacing w:line="480" w:lineRule="exact"/>
        <w:ind w:firstLine="420" w:firstLineChars="200"/>
        <w:rPr>
          <w:rFonts w:ascii="宋体" w:hAnsi="宋体"/>
          <w:bCs/>
          <w:szCs w:val="21"/>
        </w:rPr>
      </w:pPr>
      <w:r>
        <w:rPr>
          <w:rFonts w:hint="eastAsia" w:ascii="宋体" w:hAnsi="宋体"/>
          <w:bCs/>
          <w:szCs w:val="21"/>
        </w:rPr>
        <w:t>①被市场监督管理部门列入经营异常名录或者严重违法企业名单，且未被移除的。</w:t>
      </w:r>
    </w:p>
    <w:p>
      <w:pPr>
        <w:spacing w:line="480" w:lineRule="exact"/>
        <w:ind w:firstLine="420" w:firstLineChars="200"/>
        <w:rPr>
          <w:rFonts w:ascii="宋体" w:hAnsi="宋体"/>
          <w:bCs/>
          <w:szCs w:val="21"/>
        </w:rPr>
      </w:pPr>
      <w:r>
        <w:rPr>
          <w:rFonts w:hint="eastAsia" w:ascii="宋体" w:hAnsi="宋体"/>
          <w:bCs/>
          <w:szCs w:val="21"/>
        </w:rPr>
        <w:t>3、滁州市公共资源交易中心网（http://ggzy.chuzhou.gov.cn/）查询以下失信行为：</w:t>
      </w:r>
    </w:p>
    <w:p>
      <w:pPr>
        <w:spacing w:line="480" w:lineRule="exact"/>
        <w:ind w:firstLine="420" w:firstLineChars="200"/>
        <w:rPr>
          <w:rFonts w:ascii="宋体" w:hAnsi="宋体"/>
          <w:bCs/>
          <w:szCs w:val="21"/>
        </w:rPr>
      </w:pPr>
      <w:r>
        <w:rPr>
          <w:rFonts w:hint="eastAsia" w:ascii="宋体" w:hAnsi="宋体"/>
          <w:bCs/>
          <w:szCs w:val="21"/>
        </w:rPr>
        <w:t>①被滁州市县两级公管部门取消在一定期限内的投标资格且在取消期限内的；</w:t>
      </w:r>
    </w:p>
    <w:p>
      <w:pPr>
        <w:spacing w:line="480" w:lineRule="exact"/>
        <w:ind w:firstLine="420" w:firstLineChars="200"/>
        <w:rPr>
          <w:rFonts w:ascii="宋体" w:hAnsi="宋体"/>
          <w:bCs/>
          <w:szCs w:val="21"/>
        </w:rPr>
      </w:pPr>
      <w:r>
        <w:rPr>
          <w:rFonts w:hint="eastAsia" w:ascii="宋体" w:hAnsi="宋体"/>
          <w:bCs/>
          <w:szCs w:val="21"/>
        </w:rPr>
        <w:t>②被滁州市县两级公管部门记入不良行为记录或者信用信息记录，且在披露期内的。</w:t>
      </w:r>
    </w:p>
    <w:p>
      <w:pPr>
        <w:spacing w:line="480" w:lineRule="exact"/>
        <w:ind w:firstLine="420" w:firstLineChars="200"/>
        <w:rPr>
          <w:rFonts w:ascii="宋体" w:hAnsi="宋体"/>
          <w:bCs/>
          <w:szCs w:val="21"/>
        </w:rPr>
      </w:pPr>
      <w:r>
        <w:rPr>
          <w:rFonts w:hint="eastAsia" w:ascii="宋体" w:hAnsi="宋体"/>
          <w:bCs/>
          <w:szCs w:val="21"/>
        </w:rPr>
        <w:t>4、由竞争主体进行承诺，不进行现场网上信用查询的失信行为：</w:t>
      </w:r>
    </w:p>
    <w:p>
      <w:pPr>
        <w:spacing w:line="480" w:lineRule="exact"/>
        <w:ind w:firstLine="420" w:firstLineChars="200"/>
        <w:rPr>
          <w:rFonts w:hint="eastAsia" w:ascii="宋体" w:hAnsi="宋体" w:eastAsia="宋体"/>
          <w:bCs/>
          <w:szCs w:val="21"/>
          <w:lang w:eastAsia="zh-CN"/>
        </w:rPr>
      </w:pPr>
      <w:r>
        <w:rPr>
          <w:rFonts w:hint="eastAsia" w:ascii="宋体" w:hAnsi="宋体"/>
          <w:bCs/>
          <w:szCs w:val="21"/>
        </w:rPr>
        <w:t>①</w:t>
      </w:r>
      <w:r>
        <w:rPr>
          <w:rFonts w:hint="eastAsia" w:ascii="宋体" w:hAnsi="宋体"/>
          <w:bCs/>
          <w:szCs w:val="21"/>
          <w:lang w:eastAsia="zh-CN"/>
        </w:rPr>
        <w:t>前三年有行贿犯罪行为的单位和个人；</w:t>
      </w:r>
    </w:p>
    <w:p>
      <w:pPr>
        <w:spacing w:line="480" w:lineRule="exact"/>
        <w:ind w:firstLine="420" w:firstLineChars="200"/>
        <w:rPr>
          <w:rFonts w:ascii="宋体" w:hAnsi="宋体"/>
          <w:bCs/>
          <w:szCs w:val="21"/>
        </w:rPr>
      </w:pPr>
      <w:r>
        <w:rPr>
          <w:rFonts w:hint="eastAsia" w:ascii="宋体" w:hAnsi="宋体"/>
          <w:bCs/>
          <w:szCs w:val="21"/>
        </w:rPr>
        <w:t>②被滁州市县两级各行业主管部门取消在一定期限内的投标资格且在取消期限内的；</w:t>
      </w:r>
    </w:p>
    <w:p>
      <w:pPr>
        <w:spacing w:line="480" w:lineRule="exact"/>
        <w:ind w:firstLine="420" w:firstLineChars="200"/>
        <w:rPr>
          <w:rFonts w:ascii="宋体" w:hAnsi="宋体"/>
          <w:bCs/>
          <w:szCs w:val="21"/>
        </w:rPr>
      </w:pPr>
      <w:r>
        <w:rPr>
          <w:rFonts w:hint="eastAsia" w:ascii="宋体" w:hAnsi="宋体"/>
          <w:bCs/>
          <w:szCs w:val="21"/>
        </w:rPr>
        <w:t>③因拖欠农民工工资被县级及以上有关行政主管部门限制投标资格且在限制期限内的。</w:t>
      </w:r>
    </w:p>
    <w:p>
      <w:pPr>
        <w:spacing w:line="480" w:lineRule="exact"/>
        <w:ind w:firstLine="420" w:firstLineChars="200"/>
        <w:rPr>
          <w:rFonts w:ascii="宋体" w:hAnsi="宋体"/>
          <w:bCs/>
          <w:szCs w:val="21"/>
        </w:rPr>
      </w:pPr>
      <w:r>
        <w:rPr>
          <w:rFonts w:hint="eastAsia" w:ascii="宋体" w:hAnsi="宋体"/>
          <w:bCs/>
          <w:szCs w:val="21"/>
        </w:rPr>
        <w:t>（二）政府采购项目</w:t>
      </w:r>
    </w:p>
    <w:p>
      <w:pPr>
        <w:spacing w:line="480" w:lineRule="exact"/>
        <w:ind w:firstLine="420" w:firstLineChars="200"/>
        <w:rPr>
          <w:rFonts w:ascii="宋体" w:hAnsi="宋体"/>
          <w:bCs/>
          <w:szCs w:val="21"/>
        </w:rPr>
      </w:pPr>
      <w:r>
        <w:rPr>
          <w:rFonts w:hint="eastAsia" w:ascii="宋体" w:hAnsi="宋体"/>
          <w:bCs/>
          <w:szCs w:val="21"/>
        </w:rPr>
        <w:t>1、“信用中国”网站（www.creditchina.gov.cn）查询以下失信行为：</w:t>
      </w:r>
    </w:p>
    <w:p>
      <w:pPr>
        <w:spacing w:line="480" w:lineRule="exact"/>
        <w:ind w:firstLine="420" w:firstLineChars="200"/>
        <w:rPr>
          <w:rFonts w:ascii="宋体" w:hAnsi="宋体"/>
          <w:bCs/>
          <w:szCs w:val="21"/>
        </w:rPr>
      </w:pPr>
      <w:r>
        <w:rPr>
          <w:rFonts w:hint="eastAsia" w:ascii="宋体" w:hAnsi="宋体"/>
          <w:bCs/>
          <w:szCs w:val="21"/>
        </w:rPr>
        <w:t>①供应商被人民法院列入失信被执行人的；</w:t>
      </w:r>
    </w:p>
    <w:p>
      <w:pPr>
        <w:spacing w:line="480" w:lineRule="exact"/>
        <w:ind w:firstLine="420" w:firstLineChars="200"/>
        <w:rPr>
          <w:rFonts w:ascii="宋体" w:hAnsi="宋体"/>
          <w:bCs/>
          <w:szCs w:val="21"/>
        </w:rPr>
      </w:pPr>
      <w:r>
        <w:rPr>
          <w:rFonts w:hint="eastAsia" w:ascii="宋体" w:hAnsi="宋体"/>
          <w:bCs/>
          <w:szCs w:val="21"/>
        </w:rPr>
        <w:t>②供应商被税务部门列入重大税收违法案件当事人的；</w:t>
      </w:r>
    </w:p>
    <w:p>
      <w:pPr>
        <w:spacing w:line="480" w:lineRule="exact"/>
        <w:ind w:firstLine="420" w:firstLineChars="200"/>
        <w:rPr>
          <w:rFonts w:ascii="宋体" w:hAnsi="宋体"/>
          <w:bCs/>
          <w:szCs w:val="21"/>
        </w:rPr>
      </w:pPr>
      <w:r>
        <w:rPr>
          <w:rFonts w:hint="eastAsia" w:ascii="宋体" w:hAnsi="宋体"/>
          <w:bCs/>
          <w:szCs w:val="21"/>
        </w:rPr>
        <w:t>③在“信用中国”网站上披露的仍在公示期的严重失信行为的。</w:t>
      </w:r>
    </w:p>
    <w:p>
      <w:pPr>
        <w:spacing w:line="480" w:lineRule="exact"/>
        <w:ind w:firstLine="420" w:firstLineChars="200"/>
        <w:rPr>
          <w:rFonts w:ascii="宋体" w:hAnsi="宋体"/>
          <w:bCs/>
          <w:szCs w:val="21"/>
        </w:rPr>
      </w:pPr>
      <w:r>
        <w:rPr>
          <w:rFonts w:hint="eastAsia" w:ascii="宋体" w:hAnsi="宋体"/>
          <w:bCs/>
          <w:szCs w:val="21"/>
        </w:rPr>
        <w:t>2、国家企业信用信息公示系统网站（www.gsxt.gov.cn）查询以下失信行为：</w:t>
      </w:r>
    </w:p>
    <w:p>
      <w:pPr>
        <w:spacing w:line="480" w:lineRule="exact"/>
        <w:ind w:firstLine="420" w:firstLineChars="200"/>
        <w:rPr>
          <w:rFonts w:ascii="宋体" w:hAnsi="宋体"/>
          <w:bCs/>
          <w:szCs w:val="21"/>
        </w:rPr>
      </w:pPr>
      <w:r>
        <w:rPr>
          <w:rFonts w:hint="eastAsia" w:ascii="宋体" w:hAnsi="宋体"/>
          <w:bCs/>
          <w:szCs w:val="21"/>
        </w:rPr>
        <w:t>①被市场监督管理部门列入经营异常名录或者严重违法企业名单，且未被移除的。</w:t>
      </w:r>
    </w:p>
    <w:p>
      <w:pPr>
        <w:spacing w:line="480" w:lineRule="exact"/>
        <w:ind w:firstLine="420" w:firstLineChars="200"/>
        <w:rPr>
          <w:rFonts w:ascii="宋体" w:hAnsi="宋体"/>
          <w:bCs/>
          <w:szCs w:val="21"/>
        </w:rPr>
      </w:pPr>
      <w:r>
        <w:rPr>
          <w:rFonts w:hint="eastAsia" w:ascii="宋体" w:hAnsi="宋体"/>
          <w:bCs/>
          <w:szCs w:val="21"/>
        </w:rPr>
        <w:t>3、中国政府采购网站（www.ccgp.gov.cn）查询以下失信行为：</w:t>
      </w:r>
    </w:p>
    <w:p>
      <w:pPr>
        <w:spacing w:line="480" w:lineRule="exact"/>
        <w:ind w:firstLine="420" w:firstLineChars="200"/>
        <w:rPr>
          <w:rFonts w:ascii="宋体" w:hAnsi="宋体"/>
          <w:bCs/>
          <w:szCs w:val="21"/>
        </w:rPr>
      </w:pPr>
      <w:r>
        <w:rPr>
          <w:rFonts w:hint="eastAsia" w:ascii="宋体" w:hAnsi="宋体"/>
          <w:bCs/>
          <w:szCs w:val="21"/>
        </w:rPr>
        <w:t>①政府采购严重违法失信行为</w:t>
      </w:r>
    </w:p>
    <w:p>
      <w:pPr>
        <w:spacing w:line="480" w:lineRule="exact"/>
        <w:ind w:firstLine="420" w:firstLineChars="200"/>
        <w:rPr>
          <w:rFonts w:ascii="宋体" w:hAnsi="宋体"/>
          <w:bCs/>
          <w:szCs w:val="21"/>
        </w:rPr>
      </w:pPr>
      <w:r>
        <w:rPr>
          <w:rFonts w:hint="eastAsia" w:ascii="宋体" w:hAnsi="宋体"/>
          <w:bCs/>
          <w:szCs w:val="21"/>
        </w:rPr>
        <w:t>4、由竞争主体进行承诺，不进行现场网上信用查询的失信行为：</w:t>
      </w:r>
    </w:p>
    <w:p>
      <w:pPr>
        <w:spacing w:line="480" w:lineRule="exact"/>
        <w:ind w:firstLine="420" w:firstLineChars="200"/>
        <w:rPr>
          <w:rFonts w:hint="eastAsia" w:ascii="宋体" w:hAnsi="宋体" w:eastAsia="宋体"/>
          <w:bCs/>
          <w:szCs w:val="21"/>
          <w:lang w:eastAsia="zh-CN"/>
        </w:rPr>
      </w:pPr>
      <w:r>
        <w:rPr>
          <w:rFonts w:hint="eastAsia" w:ascii="宋体" w:hAnsi="宋体"/>
          <w:bCs/>
          <w:szCs w:val="21"/>
        </w:rPr>
        <w:t>①</w:t>
      </w:r>
      <w:r>
        <w:rPr>
          <w:rFonts w:hint="eastAsia" w:ascii="宋体" w:hAnsi="宋体"/>
          <w:bCs/>
          <w:szCs w:val="21"/>
          <w:lang w:eastAsia="zh-CN"/>
        </w:rPr>
        <w:t>前三年有行贿犯罪行为的单位和个人；</w:t>
      </w:r>
    </w:p>
    <w:p>
      <w:pPr>
        <w:spacing w:line="480" w:lineRule="exact"/>
        <w:ind w:firstLine="420" w:firstLineChars="200"/>
        <w:rPr>
          <w:rFonts w:ascii="宋体" w:hAnsi="宋体"/>
          <w:bCs/>
          <w:szCs w:val="21"/>
        </w:rPr>
      </w:pPr>
      <w:r>
        <w:rPr>
          <w:rFonts w:hint="eastAsia" w:ascii="宋体" w:hAnsi="宋体"/>
          <w:bCs/>
          <w:szCs w:val="21"/>
        </w:rPr>
        <w:t>二、在开评标活动中的查询程序</w:t>
      </w:r>
    </w:p>
    <w:p>
      <w:pPr>
        <w:spacing w:line="480" w:lineRule="exact"/>
        <w:ind w:firstLine="420" w:firstLineChars="200"/>
        <w:rPr>
          <w:rFonts w:ascii="宋体" w:hAnsi="宋体"/>
          <w:bCs/>
          <w:szCs w:val="21"/>
        </w:rPr>
      </w:pPr>
      <w:r>
        <w:rPr>
          <w:rFonts w:hint="eastAsia" w:ascii="宋体" w:hAnsi="宋体"/>
          <w:bCs/>
          <w:szCs w:val="21"/>
        </w:rPr>
        <w:t>1、实行有限数量制资格审查的项目，由项目单位（代理机构）对入围的供应商、法定代表人及其项目负责人是否存在上述要求查询的失信行为进行网上核查；若核查结果与供应商承诺不一致，则提交招标小组取消其入围资格，依次进行替补，并对替补单位进行核查。评审结论以核查后入围的结果重新计算最终评标基准值。</w:t>
      </w:r>
    </w:p>
    <w:p>
      <w:pPr>
        <w:spacing w:line="480" w:lineRule="exact"/>
        <w:ind w:firstLine="420" w:firstLineChars="200"/>
        <w:rPr>
          <w:rFonts w:ascii="宋体" w:hAnsi="宋体"/>
          <w:bCs/>
          <w:szCs w:val="21"/>
        </w:rPr>
      </w:pPr>
      <w:r>
        <w:rPr>
          <w:rFonts w:hint="eastAsia" w:ascii="宋体" w:hAnsi="宋体"/>
          <w:bCs/>
          <w:szCs w:val="21"/>
        </w:rPr>
        <w:t>2、不实行有限数量制资格审查的项目，由项目单位（代理机构）对评审最终得分排序前3名（含）的预中标候选人、法定代表人及其项目负责人是否存在上述要求查询的失信行为进行网上核查。若核查结果与供应商承诺不一致，则提交招标小组取消其预中标候选人资格，依次替补，并再次对替补单位进行核查。核查结果不改变原评标基准值。</w:t>
      </w:r>
    </w:p>
    <w:p>
      <w:pPr>
        <w:spacing w:line="480" w:lineRule="exact"/>
        <w:ind w:firstLine="420" w:firstLineChars="200"/>
        <w:rPr>
          <w:rFonts w:ascii="宋体" w:hAnsi="宋体"/>
          <w:bCs/>
          <w:szCs w:val="21"/>
        </w:rPr>
      </w:pPr>
      <w:r>
        <w:rPr>
          <w:rFonts w:hint="eastAsia" w:ascii="宋体" w:hAnsi="宋体"/>
          <w:bCs/>
          <w:szCs w:val="21"/>
        </w:rPr>
        <w:t>3、项目单位及其委托的代理机构应当做好信用查询结果截图和记录留存。</w:t>
      </w:r>
    </w:p>
    <w:p>
      <w:pPr>
        <w:spacing w:line="480" w:lineRule="exact"/>
        <w:ind w:firstLine="420" w:firstLineChars="200"/>
        <w:rPr>
          <w:rFonts w:ascii="宋体" w:hAnsi="宋体"/>
          <w:bCs/>
          <w:szCs w:val="21"/>
        </w:rPr>
      </w:pPr>
      <w:r>
        <w:rPr>
          <w:rFonts w:hint="eastAsia" w:ascii="宋体" w:hAnsi="宋体"/>
          <w:bCs/>
          <w:szCs w:val="21"/>
        </w:rPr>
        <w:t>三、相关要求</w:t>
      </w:r>
    </w:p>
    <w:p>
      <w:pPr>
        <w:spacing w:line="480" w:lineRule="exact"/>
        <w:ind w:firstLine="420" w:firstLineChars="200"/>
        <w:rPr>
          <w:rFonts w:ascii="宋体" w:hAnsi="宋体"/>
          <w:bCs/>
          <w:szCs w:val="21"/>
        </w:rPr>
      </w:pPr>
      <w:r>
        <w:rPr>
          <w:rFonts w:hint="eastAsia" w:ascii="宋体" w:hAnsi="宋体"/>
          <w:bCs/>
          <w:szCs w:val="21"/>
        </w:rPr>
        <w:t>1、参与公共资源交易活动的竞争主体根据上述范围查询的内容进行自查并承诺，出具《诚信投标承诺书》（诚信投标承诺书包括但不限于上述自查并承诺内容）并注明承诺日期（投标截止时间前5日内）。</w:t>
      </w:r>
    </w:p>
    <w:p>
      <w:pPr>
        <w:spacing w:line="480" w:lineRule="exact"/>
        <w:ind w:firstLine="420" w:firstLineChars="200"/>
        <w:rPr>
          <w:rFonts w:ascii="宋体" w:hAnsi="宋体"/>
          <w:bCs/>
          <w:szCs w:val="21"/>
        </w:rPr>
      </w:pPr>
      <w:r>
        <w:rPr>
          <w:rFonts w:hint="eastAsia" w:ascii="宋体" w:hAnsi="宋体"/>
          <w:bCs/>
          <w:szCs w:val="21"/>
        </w:rPr>
        <w:t>经核查，竞争主体在承诺日期之前（没有承诺日期的以资格审查日或开标日之前）有上述失信行为进行虚假承诺的，将视作不诚信行为，资格审查委员会或招标小组及代理机构应当及时报告公共资源监管部门，依法依规予以处理。</w:t>
      </w:r>
    </w:p>
    <w:p>
      <w:pPr>
        <w:spacing w:line="480" w:lineRule="exact"/>
        <w:ind w:firstLine="420" w:firstLineChars="200"/>
        <w:rPr>
          <w:rFonts w:ascii="宋体" w:hAnsi="宋体"/>
          <w:bCs/>
          <w:szCs w:val="21"/>
        </w:rPr>
      </w:pPr>
      <w:r>
        <w:rPr>
          <w:rFonts w:hint="eastAsia" w:ascii="宋体" w:hAnsi="宋体"/>
          <w:bCs/>
          <w:szCs w:val="21"/>
        </w:rPr>
        <w:t>2、“信用中国”查询的严重失信行为判定依据为各行业主管部门下发的联合惩戒文件中规定的行为（按附件2执行）。</w:t>
      </w:r>
    </w:p>
    <w:p>
      <w:pPr>
        <w:spacing w:line="480" w:lineRule="exact"/>
        <w:ind w:firstLine="420" w:firstLineChars="200"/>
        <w:rPr>
          <w:rFonts w:ascii="宋体" w:hAnsi="宋体"/>
          <w:szCs w:val="21"/>
        </w:rPr>
      </w:pPr>
      <w:r>
        <w:rPr>
          <w:rFonts w:hint="eastAsia" w:ascii="宋体" w:hAnsi="宋体"/>
          <w:bCs/>
          <w:szCs w:val="21"/>
        </w:rPr>
        <w:t>3、资格预审的项目以递交资格预审申请文件截止时间查询为准；资格后审的项目以递交响应文件截止时间查询为准。</w:t>
      </w:r>
    </w:p>
    <w:p>
      <w:pPr>
        <w:spacing w:line="480" w:lineRule="exact"/>
        <w:rPr>
          <w:rFonts w:ascii="宋体" w:hAnsi="宋体"/>
          <w:sz w:val="28"/>
          <w:szCs w:val="28"/>
        </w:rPr>
      </w:pPr>
    </w:p>
    <w:p>
      <w:pPr>
        <w:pStyle w:val="2"/>
        <w:spacing w:line="480" w:lineRule="exact"/>
        <w:rPr>
          <w:color w:val="000000"/>
        </w:rPr>
      </w:pPr>
    </w:p>
    <w:p>
      <w:pPr>
        <w:pStyle w:val="10"/>
        <w:spacing w:line="480" w:lineRule="exact"/>
        <w:ind w:firstLine="0"/>
        <w:rPr>
          <w:b/>
          <w:color w:val="000000"/>
          <w:sz w:val="32"/>
          <w:szCs w:val="32"/>
        </w:rPr>
      </w:pPr>
    </w:p>
    <w:p>
      <w:pPr>
        <w:pStyle w:val="10"/>
        <w:spacing w:line="480" w:lineRule="exact"/>
        <w:ind w:firstLine="0"/>
        <w:rPr>
          <w:b/>
          <w:color w:val="000000"/>
          <w:sz w:val="32"/>
          <w:szCs w:val="32"/>
        </w:rPr>
      </w:pPr>
    </w:p>
    <w:p>
      <w:pPr>
        <w:spacing w:line="480" w:lineRule="exact"/>
        <w:rPr>
          <w:b/>
          <w:sz w:val="32"/>
          <w:szCs w:val="32"/>
        </w:rPr>
      </w:pPr>
      <w:r>
        <w:rPr>
          <w:rFonts w:hint="eastAsia"/>
          <w:b/>
          <w:sz w:val="32"/>
          <w:szCs w:val="32"/>
        </w:rPr>
        <w:t>附件2</w:t>
      </w:r>
    </w:p>
    <w:p>
      <w:pPr>
        <w:spacing w:line="480" w:lineRule="exact"/>
        <w:jc w:val="center"/>
        <w:rPr>
          <w:rFonts w:ascii="宋体" w:hAnsi="宋体"/>
          <w:bCs/>
          <w:sz w:val="24"/>
        </w:rPr>
      </w:pPr>
      <w:r>
        <w:rPr>
          <w:rFonts w:hint="eastAsia" w:ascii="宋体" w:hAnsi="宋体"/>
          <w:b/>
          <w:sz w:val="32"/>
          <w:szCs w:val="32"/>
        </w:rPr>
        <w:t>“信用中国”查询的严重失信行为类别及判定依据</w:t>
      </w:r>
    </w:p>
    <w:p>
      <w:pPr>
        <w:spacing w:line="480" w:lineRule="exact"/>
        <w:ind w:firstLine="645"/>
        <w:jc w:val="left"/>
        <w:rPr>
          <w:rFonts w:ascii="宋体" w:hAnsi="宋体"/>
          <w:bCs/>
          <w:szCs w:val="21"/>
        </w:rPr>
      </w:pPr>
      <w:r>
        <w:rPr>
          <w:rFonts w:hint="eastAsia" w:ascii="宋体" w:hAnsi="宋体"/>
          <w:bCs/>
          <w:szCs w:val="21"/>
        </w:rPr>
        <w:t>“信用中国”查询的严重失信行为判定依据为各行业主管部门下发的联合惩戒文件中规定的行为。下面将部分类别的严重失信行为列举如下：</w:t>
      </w:r>
    </w:p>
    <w:p>
      <w:pPr>
        <w:spacing w:line="480" w:lineRule="exact"/>
        <w:ind w:firstLine="645"/>
        <w:jc w:val="left"/>
        <w:rPr>
          <w:rFonts w:ascii="宋体" w:hAnsi="宋体"/>
          <w:bCs/>
          <w:szCs w:val="21"/>
        </w:rPr>
      </w:pPr>
      <w:r>
        <w:rPr>
          <w:rFonts w:hint="eastAsia" w:ascii="宋体" w:hAnsi="宋体"/>
          <w:bCs/>
          <w:szCs w:val="21"/>
        </w:rPr>
        <w:t>一、安全生产领域严重失信行为：</w:t>
      </w:r>
    </w:p>
    <w:p>
      <w:pPr>
        <w:spacing w:line="480" w:lineRule="exact"/>
        <w:ind w:firstLine="645"/>
        <w:jc w:val="left"/>
        <w:rPr>
          <w:rFonts w:ascii="宋体" w:hAnsi="宋体"/>
          <w:bCs/>
          <w:szCs w:val="21"/>
        </w:rPr>
      </w:pPr>
      <w:r>
        <w:rPr>
          <w:rFonts w:hint="eastAsia" w:ascii="宋体" w:hAnsi="宋体"/>
          <w:bCs/>
          <w:szCs w:val="21"/>
        </w:rPr>
        <w:t>（一）发生较大及以上生产安全责任事故，或1年内累计发生3起及以上造成人员死亡的一般生产安全责任事故的；</w:t>
      </w:r>
    </w:p>
    <w:p>
      <w:pPr>
        <w:spacing w:line="480" w:lineRule="exact"/>
        <w:ind w:firstLine="645"/>
        <w:jc w:val="left"/>
        <w:rPr>
          <w:rFonts w:ascii="宋体" w:hAnsi="宋体"/>
          <w:bCs/>
          <w:szCs w:val="21"/>
        </w:rPr>
      </w:pPr>
      <w:r>
        <w:rPr>
          <w:rFonts w:hint="eastAsia" w:ascii="宋体" w:hAnsi="宋体"/>
          <w:bCs/>
          <w:szCs w:val="21"/>
        </w:rPr>
        <w:t>（二）未按规定取得安全生产许可，擅自开展生产经营建设活动的；</w:t>
      </w:r>
    </w:p>
    <w:p>
      <w:pPr>
        <w:spacing w:line="480" w:lineRule="exact"/>
        <w:ind w:firstLine="645"/>
        <w:jc w:val="left"/>
        <w:rPr>
          <w:rFonts w:ascii="宋体" w:hAnsi="宋体"/>
          <w:bCs/>
          <w:szCs w:val="21"/>
        </w:rPr>
      </w:pPr>
      <w:r>
        <w:rPr>
          <w:rFonts w:hint="eastAsia" w:ascii="宋体" w:hAnsi="宋体"/>
          <w:bCs/>
          <w:szCs w:val="21"/>
        </w:rPr>
        <w:t>（三）发现重大生产安全事故隐患，或职业病危害严重超标，不及时整改，仍组织从业人员冒险作业的；</w:t>
      </w:r>
    </w:p>
    <w:p>
      <w:pPr>
        <w:spacing w:line="480" w:lineRule="exact"/>
        <w:ind w:firstLine="645"/>
        <w:jc w:val="left"/>
        <w:rPr>
          <w:rFonts w:ascii="宋体" w:hAnsi="宋体"/>
          <w:bCs/>
          <w:szCs w:val="21"/>
        </w:rPr>
      </w:pPr>
      <w:r>
        <w:rPr>
          <w:rFonts w:hint="eastAsia" w:ascii="宋体" w:hAnsi="宋体"/>
          <w:bCs/>
          <w:szCs w:val="21"/>
        </w:rPr>
        <w:t>（四）采取隐蔽、欺骗或阻碍等方式逃避、对抗安全监管监察的;</w:t>
      </w:r>
    </w:p>
    <w:p>
      <w:pPr>
        <w:spacing w:line="480" w:lineRule="exact"/>
        <w:ind w:firstLine="645"/>
        <w:jc w:val="left"/>
        <w:rPr>
          <w:rFonts w:ascii="宋体" w:hAnsi="宋体"/>
          <w:bCs/>
          <w:szCs w:val="21"/>
        </w:rPr>
      </w:pPr>
      <w:r>
        <w:rPr>
          <w:rFonts w:hint="eastAsia" w:ascii="宋体" w:hAnsi="宋体"/>
          <w:bCs/>
          <w:szCs w:val="21"/>
        </w:rPr>
        <w:t>（五）被责令停产停业整顿，仍然从事生产经营建设活动的；</w:t>
      </w:r>
    </w:p>
    <w:p>
      <w:pPr>
        <w:spacing w:line="480" w:lineRule="exact"/>
        <w:ind w:firstLine="645"/>
        <w:jc w:val="left"/>
        <w:rPr>
          <w:rFonts w:ascii="宋体" w:hAnsi="宋体"/>
          <w:bCs/>
          <w:szCs w:val="21"/>
        </w:rPr>
      </w:pPr>
      <w:r>
        <w:rPr>
          <w:rFonts w:hint="eastAsia" w:ascii="宋体" w:hAnsi="宋体"/>
          <w:bCs/>
          <w:szCs w:val="21"/>
        </w:rPr>
        <w:t>（六）瞒报、谎报、迟报生产安全事故的；</w:t>
      </w:r>
    </w:p>
    <w:p>
      <w:pPr>
        <w:spacing w:line="480" w:lineRule="exact"/>
        <w:ind w:firstLine="645"/>
        <w:jc w:val="left"/>
        <w:rPr>
          <w:rFonts w:ascii="宋体" w:hAnsi="宋体"/>
          <w:bCs/>
          <w:szCs w:val="21"/>
        </w:rPr>
      </w:pPr>
      <w:r>
        <w:rPr>
          <w:rFonts w:hint="eastAsia" w:ascii="宋体" w:hAnsi="宋体"/>
          <w:bCs/>
          <w:szCs w:val="21"/>
        </w:rPr>
        <w:t>（七）矿山、危险化学品、金属冶炼等高危行业建设项目安全设施未经验收合格即投入生产和使用的；</w:t>
      </w:r>
    </w:p>
    <w:p>
      <w:pPr>
        <w:spacing w:line="480" w:lineRule="exact"/>
        <w:ind w:firstLine="645"/>
        <w:jc w:val="left"/>
        <w:rPr>
          <w:rFonts w:ascii="宋体" w:hAnsi="宋体"/>
          <w:bCs/>
          <w:szCs w:val="21"/>
        </w:rPr>
      </w:pPr>
      <w:r>
        <w:rPr>
          <w:rFonts w:hint="eastAsia" w:ascii="宋体" w:hAnsi="宋体"/>
          <w:bCs/>
          <w:szCs w:val="21"/>
        </w:rPr>
        <w:t>（八）矿山生产经营单位存在超层越界开采、以探代采行为的；</w:t>
      </w:r>
    </w:p>
    <w:p>
      <w:pPr>
        <w:spacing w:line="480" w:lineRule="exact"/>
        <w:ind w:firstLine="645"/>
        <w:jc w:val="left"/>
        <w:rPr>
          <w:rFonts w:ascii="宋体" w:hAnsi="宋体"/>
          <w:bCs/>
          <w:szCs w:val="21"/>
        </w:rPr>
      </w:pPr>
      <w:r>
        <w:rPr>
          <w:rFonts w:hint="eastAsia" w:ascii="宋体" w:hAnsi="宋体"/>
          <w:bCs/>
          <w:szCs w:val="21"/>
        </w:rPr>
        <w:t>（九）发生事故后，故意破坏事故现场，伪造有关证据资料，妨碍、对抗事故调查，或主要负责人逃逸的；</w:t>
      </w:r>
    </w:p>
    <w:p>
      <w:pPr>
        <w:spacing w:line="480" w:lineRule="exact"/>
        <w:ind w:firstLine="645"/>
        <w:jc w:val="left"/>
        <w:rPr>
          <w:rFonts w:ascii="宋体" w:hAnsi="宋体"/>
          <w:bCs/>
          <w:szCs w:val="21"/>
        </w:rPr>
      </w:pPr>
      <w:r>
        <w:rPr>
          <w:rFonts w:hint="eastAsia" w:ascii="宋体" w:hAnsi="宋体"/>
          <w:bCs/>
          <w:szCs w:val="21"/>
        </w:rPr>
        <w:t>（十）安全生产和职业健康技术服务机构出具虚假报告或证明，违规转让或出借资质的。</w:t>
      </w:r>
    </w:p>
    <w:p>
      <w:pPr>
        <w:spacing w:line="480" w:lineRule="exact"/>
        <w:ind w:firstLine="645"/>
        <w:jc w:val="left"/>
        <w:rPr>
          <w:bCs/>
          <w:szCs w:val="21"/>
        </w:rPr>
      </w:pPr>
      <w:r>
        <w:rPr>
          <w:rFonts w:hint="eastAsia" w:ascii="宋体" w:hAnsi="宋体"/>
          <w:bCs/>
          <w:szCs w:val="21"/>
        </w:rPr>
        <w:t>依据：《对安全生产领域失信行为开展联合惩戒的实施办法》</w:t>
      </w:r>
      <w:r>
        <w:rPr>
          <w:rFonts w:hint="eastAsia"/>
          <w:bCs/>
          <w:szCs w:val="21"/>
        </w:rPr>
        <w:t>（安监总办〔2017〕49号）第二条</w:t>
      </w:r>
    </w:p>
    <w:p>
      <w:pPr>
        <w:spacing w:line="480" w:lineRule="exact"/>
        <w:ind w:firstLine="645"/>
        <w:jc w:val="left"/>
        <w:rPr>
          <w:rFonts w:ascii="宋体" w:hAnsi="宋体"/>
          <w:bCs/>
          <w:szCs w:val="21"/>
        </w:rPr>
      </w:pPr>
      <w:r>
        <w:rPr>
          <w:rFonts w:hint="eastAsia" w:ascii="宋体" w:hAnsi="宋体"/>
          <w:bCs/>
          <w:szCs w:val="21"/>
        </w:rPr>
        <w:t>二、环境保护领域严重失信行为：</w:t>
      </w:r>
    </w:p>
    <w:p>
      <w:pPr>
        <w:spacing w:line="480" w:lineRule="exact"/>
        <w:ind w:firstLine="645"/>
        <w:jc w:val="left"/>
        <w:rPr>
          <w:rFonts w:ascii="宋体" w:hAnsi="宋体"/>
          <w:bCs/>
          <w:szCs w:val="21"/>
        </w:rPr>
      </w:pPr>
      <w:r>
        <w:rPr>
          <w:rFonts w:ascii="宋体" w:hAnsi="宋体"/>
          <w:bCs/>
          <w:szCs w:val="21"/>
        </w:rPr>
        <w:t>（一）因为环境违法构成</w:t>
      </w:r>
      <w:r>
        <w:fldChar w:fldCharType="begin"/>
      </w:r>
      <w:r>
        <w:instrText xml:space="preserve"> HYPERLINK "https://baike.sogou.com/m/fullLemma?lid=10403954&amp;g_ut=3" \t "https://baike.sogou.com/m/_blank" </w:instrText>
      </w:r>
      <w:r>
        <w:fldChar w:fldCharType="separate"/>
      </w:r>
      <w:r>
        <w:rPr>
          <w:rFonts w:ascii="宋体" w:hAnsi="宋体"/>
          <w:bCs/>
          <w:szCs w:val="21"/>
        </w:rPr>
        <w:t>环境犯罪</w:t>
      </w:r>
      <w:r>
        <w:rPr>
          <w:rFonts w:ascii="宋体" w:hAnsi="宋体"/>
          <w:bCs/>
          <w:szCs w:val="21"/>
        </w:rPr>
        <w:fldChar w:fldCharType="end"/>
      </w:r>
      <w:r>
        <w:rPr>
          <w:rFonts w:ascii="宋体" w:hAnsi="宋体"/>
          <w:bCs/>
          <w:szCs w:val="21"/>
        </w:rPr>
        <w:t>的；</w:t>
      </w:r>
    </w:p>
    <w:p>
      <w:pPr>
        <w:spacing w:line="480" w:lineRule="exact"/>
        <w:ind w:firstLine="645"/>
        <w:jc w:val="left"/>
        <w:rPr>
          <w:rFonts w:ascii="宋体" w:hAnsi="宋体"/>
          <w:bCs/>
          <w:szCs w:val="21"/>
        </w:rPr>
      </w:pPr>
      <w:r>
        <w:rPr>
          <w:rFonts w:ascii="宋体" w:hAnsi="宋体"/>
          <w:bCs/>
          <w:szCs w:val="21"/>
        </w:rPr>
        <w:t>（二）</w:t>
      </w:r>
      <w:r>
        <w:fldChar w:fldCharType="begin"/>
      </w:r>
      <w:r>
        <w:instrText xml:space="preserve"> HYPERLINK "https://baike.sogou.com/m/fullLemma?lid=76033123&amp;g_ut=3" \t "https://baike.sogou.com/m/_blank" </w:instrText>
      </w:r>
      <w:r>
        <w:fldChar w:fldCharType="separate"/>
      </w:r>
      <w:r>
        <w:rPr>
          <w:rFonts w:ascii="宋体" w:hAnsi="宋体"/>
          <w:bCs/>
          <w:szCs w:val="21"/>
        </w:rPr>
        <w:t>建设项目环境影响评价</w:t>
      </w:r>
      <w:r>
        <w:rPr>
          <w:rFonts w:ascii="宋体" w:hAnsi="宋体"/>
          <w:bCs/>
          <w:szCs w:val="21"/>
        </w:rPr>
        <w:fldChar w:fldCharType="end"/>
      </w:r>
      <w:r>
        <w:rPr>
          <w:rFonts w:ascii="宋体" w:hAnsi="宋体"/>
          <w:bCs/>
          <w:szCs w:val="21"/>
        </w:rPr>
        <w:t>文件未按规定通过审批，擅自开工建设的；</w:t>
      </w:r>
    </w:p>
    <w:p>
      <w:pPr>
        <w:spacing w:line="480" w:lineRule="exact"/>
        <w:ind w:firstLine="645"/>
        <w:jc w:val="left"/>
        <w:rPr>
          <w:rFonts w:ascii="宋体" w:hAnsi="宋体"/>
          <w:bCs/>
          <w:szCs w:val="21"/>
        </w:rPr>
      </w:pPr>
      <w:r>
        <w:rPr>
          <w:rFonts w:ascii="宋体" w:hAnsi="宋体"/>
          <w:bCs/>
          <w:szCs w:val="21"/>
        </w:rPr>
        <w:t>（三）建设项目环保设施未建成、环保措施未落实、未通过</w:t>
      </w:r>
      <w:r>
        <w:fldChar w:fldCharType="begin"/>
      </w:r>
      <w:r>
        <w:instrText xml:space="preserve"> HYPERLINK "https://baike.sogou.com/m/fullLemma?lid=6470550&amp;g_ut=3" \t "https://baike.sogou.com/m/_blank" </w:instrText>
      </w:r>
      <w:r>
        <w:fldChar w:fldCharType="separate"/>
      </w:r>
      <w:r>
        <w:rPr>
          <w:rFonts w:ascii="宋体" w:hAnsi="宋体"/>
          <w:bCs/>
          <w:szCs w:val="21"/>
        </w:rPr>
        <w:t>竣工环保验收</w:t>
      </w:r>
      <w:r>
        <w:rPr>
          <w:rFonts w:ascii="宋体" w:hAnsi="宋体"/>
          <w:bCs/>
          <w:szCs w:val="21"/>
        </w:rPr>
        <w:fldChar w:fldCharType="end"/>
      </w:r>
      <w:r>
        <w:rPr>
          <w:rFonts w:ascii="宋体" w:hAnsi="宋体"/>
          <w:bCs/>
          <w:szCs w:val="21"/>
        </w:rPr>
        <w:t>或者验收不合格，主体工程正式投入生产或者使用的；</w:t>
      </w:r>
    </w:p>
    <w:p>
      <w:pPr>
        <w:spacing w:line="480" w:lineRule="exact"/>
        <w:ind w:firstLine="645"/>
        <w:jc w:val="left"/>
        <w:rPr>
          <w:rFonts w:ascii="宋体" w:hAnsi="宋体"/>
          <w:bCs/>
          <w:szCs w:val="21"/>
        </w:rPr>
      </w:pPr>
      <w:r>
        <w:rPr>
          <w:rFonts w:ascii="宋体" w:hAnsi="宋体"/>
          <w:bCs/>
          <w:szCs w:val="21"/>
        </w:rPr>
        <w:t>（四）建设项目性质、规模、地点、采用的生产工艺或者防治污染、防止生态破坏的措施发生重大变动，未重新报批环境影响评价文件，擅自投入生产或者使用的；</w:t>
      </w:r>
    </w:p>
    <w:p>
      <w:pPr>
        <w:spacing w:line="480" w:lineRule="exact"/>
        <w:ind w:firstLine="645"/>
        <w:jc w:val="left"/>
        <w:rPr>
          <w:rFonts w:ascii="宋体" w:hAnsi="宋体"/>
          <w:bCs/>
          <w:szCs w:val="21"/>
        </w:rPr>
      </w:pPr>
      <w:r>
        <w:rPr>
          <w:rFonts w:ascii="宋体" w:hAnsi="宋体"/>
          <w:bCs/>
          <w:szCs w:val="21"/>
        </w:rPr>
        <w:t>（五）主要污染物排放总量超过控制指标的；</w:t>
      </w:r>
    </w:p>
    <w:p>
      <w:pPr>
        <w:spacing w:line="480" w:lineRule="exact"/>
        <w:ind w:firstLine="645"/>
        <w:jc w:val="left"/>
        <w:rPr>
          <w:rFonts w:ascii="宋体" w:hAnsi="宋体"/>
          <w:bCs/>
          <w:szCs w:val="21"/>
        </w:rPr>
      </w:pPr>
      <w:r>
        <w:rPr>
          <w:rFonts w:ascii="宋体" w:hAnsi="宋体"/>
          <w:bCs/>
          <w:szCs w:val="21"/>
        </w:rPr>
        <w:t>（六）私设暗管或者利用</w:t>
      </w:r>
      <w:r>
        <w:fldChar w:fldCharType="begin"/>
      </w:r>
      <w:r>
        <w:instrText xml:space="preserve"> HYPERLINK "https://baike.sogou.com/m/fullLemma?lid=41657319&amp;g_ut=3" \t "https://baike.sogou.com/m/_blank" </w:instrText>
      </w:r>
      <w:r>
        <w:fldChar w:fldCharType="separate"/>
      </w:r>
      <w:r>
        <w:rPr>
          <w:rFonts w:ascii="宋体" w:hAnsi="宋体"/>
          <w:bCs/>
          <w:szCs w:val="21"/>
        </w:rPr>
        <w:t>渗井</w:t>
      </w:r>
      <w:r>
        <w:rPr>
          <w:rFonts w:ascii="宋体" w:hAnsi="宋体"/>
          <w:bCs/>
          <w:szCs w:val="21"/>
        </w:rPr>
        <w:fldChar w:fldCharType="end"/>
      </w:r>
      <w:r>
        <w:rPr>
          <w:rFonts w:ascii="宋体" w:hAnsi="宋体"/>
          <w:bCs/>
          <w:szCs w:val="21"/>
        </w:rPr>
        <w:t>、渗坑、裂隙、溶洞等排放、倾倒、处置水污染物，或者通过私设旁路排放</w:t>
      </w:r>
      <w:r>
        <w:fldChar w:fldCharType="begin"/>
      </w:r>
      <w:r>
        <w:instrText xml:space="preserve"> HYPERLINK "https://baike.sogou.com/m/fullLemma?lid=7758328&amp;g_ut=3" \t "https://baike.sogou.com/m/_blank" </w:instrText>
      </w:r>
      <w:r>
        <w:fldChar w:fldCharType="separate"/>
      </w:r>
      <w:r>
        <w:rPr>
          <w:rFonts w:ascii="宋体" w:hAnsi="宋体"/>
          <w:bCs/>
          <w:szCs w:val="21"/>
        </w:rPr>
        <w:t>大气污染物</w:t>
      </w:r>
      <w:r>
        <w:rPr>
          <w:rFonts w:ascii="宋体" w:hAnsi="宋体"/>
          <w:bCs/>
          <w:szCs w:val="21"/>
        </w:rPr>
        <w:fldChar w:fldCharType="end"/>
      </w:r>
      <w:r>
        <w:rPr>
          <w:rFonts w:ascii="宋体" w:hAnsi="宋体"/>
          <w:bCs/>
          <w:szCs w:val="21"/>
        </w:rPr>
        <w:t>的；</w:t>
      </w:r>
    </w:p>
    <w:p>
      <w:pPr>
        <w:spacing w:line="480" w:lineRule="exact"/>
        <w:ind w:firstLine="645"/>
        <w:jc w:val="left"/>
        <w:rPr>
          <w:rFonts w:ascii="宋体" w:hAnsi="宋体"/>
          <w:bCs/>
          <w:szCs w:val="21"/>
        </w:rPr>
      </w:pPr>
      <w:r>
        <w:rPr>
          <w:rFonts w:ascii="宋体" w:hAnsi="宋体"/>
          <w:bCs/>
          <w:szCs w:val="21"/>
        </w:rPr>
        <w:t>（七）非法排放、倾倒、处置危险废物，或者向无</w:t>
      </w:r>
      <w:r>
        <w:fldChar w:fldCharType="begin"/>
      </w:r>
      <w:r>
        <w:instrText xml:space="preserve"> HYPERLINK "https://baike.sogou.com/m/fullLemma?lid=5923292&amp;g_ut=3" \t "https://baike.sogou.com/m/_blank" </w:instrText>
      </w:r>
      <w:r>
        <w:fldChar w:fldCharType="separate"/>
      </w:r>
      <w:r>
        <w:rPr>
          <w:rFonts w:ascii="宋体" w:hAnsi="宋体"/>
          <w:bCs/>
          <w:szCs w:val="21"/>
        </w:rPr>
        <w:t>经营许可证</w:t>
      </w:r>
      <w:r>
        <w:rPr>
          <w:rFonts w:ascii="宋体" w:hAnsi="宋体"/>
          <w:bCs/>
          <w:szCs w:val="21"/>
        </w:rPr>
        <w:fldChar w:fldCharType="end"/>
      </w:r>
      <w:r>
        <w:rPr>
          <w:rFonts w:ascii="宋体" w:hAnsi="宋体"/>
          <w:bCs/>
          <w:szCs w:val="21"/>
        </w:rPr>
        <w:t>或者超出经营许可范围的单位或个人提供或者委托其收集、贮存、利用、处置危险废物的；</w:t>
      </w:r>
    </w:p>
    <w:p>
      <w:pPr>
        <w:spacing w:line="480" w:lineRule="exact"/>
        <w:ind w:firstLine="645"/>
        <w:jc w:val="left"/>
        <w:rPr>
          <w:rFonts w:ascii="宋体" w:hAnsi="宋体"/>
          <w:bCs/>
          <w:szCs w:val="21"/>
        </w:rPr>
      </w:pPr>
      <w:r>
        <w:rPr>
          <w:rFonts w:ascii="宋体" w:hAnsi="宋体"/>
          <w:bCs/>
          <w:szCs w:val="21"/>
        </w:rPr>
        <w:t>（八）</w:t>
      </w:r>
      <w:r>
        <w:fldChar w:fldCharType="begin"/>
      </w:r>
      <w:r>
        <w:instrText xml:space="preserve"> HYPERLINK "https://baike.sogou.com/m/fullLemma?lid=167759803&amp;g_ut=3" \t "https://baike.sogou.com/m/_blank" </w:instrText>
      </w:r>
      <w:r>
        <w:fldChar w:fldCharType="separate"/>
      </w:r>
      <w:r>
        <w:rPr>
          <w:rFonts w:ascii="宋体" w:hAnsi="宋体"/>
          <w:bCs/>
          <w:szCs w:val="21"/>
        </w:rPr>
        <w:t>环境违法行为</w:t>
      </w:r>
      <w:r>
        <w:rPr>
          <w:rFonts w:ascii="宋体" w:hAnsi="宋体"/>
          <w:bCs/>
          <w:szCs w:val="21"/>
        </w:rPr>
        <w:fldChar w:fldCharType="end"/>
      </w:r>
      <w:r>
        <w:rPr>
          <w:rFonts w:ascii="宋体" w:hAnsi="宋体"/>
          <w:bCs/>
          <w:szCs w:val="21"/>
        </w:rPr>
        <w:t>造成集中式生活饮用水水源取水中断的；</w:t>
      </w:r>
    </w:p>
    <w:p>
      <w:pPr>
        <w:spacing w:line="480" w:lineRule="exact"/>
        <w:ind w:firstLine="645"/>
        <w:jc w:val="left"/>
        <w:rPr>
          <w:rFonts w:ascii="宋体" w:hAnsi="宋体"/>
          <w:bCs/>
          <w:szCs w:val="21"/>
        </w:rPr>
      </w:pPr>
      <w:r>
        <w:rPr>
          <w:rFonts w:ascii="宋体" w:hAnsi="宋体"/>
          <w:bCs/>
          <w:szCs w:val="21"/>
        </w:rPr>
        <w:t>（九）环境违法行为对生活饮用水水源保护区、自然保护区、</w:t>
      </w:r>
      <w:r>
        <w:fldChar w:fldCharType="begin"/>
      </w:r>
      <w:r>
        <w:instrText xml:space="preserve"> HYPERLINK "https://baike.sogou.com/m/fullLemma?lid=155199213&amp;g_ut=3" \t "https://baike.sogou.com/m/_blank" </w:instrText>
      </w:r>
      <w:r>
        <w:fldChar w:fldCharType="separate"/>
      </w:r>
      <w:r>
        <w:rPr>
          <w:rFonts w:ascii="宋体" w:hAnsi="宋体"/>
          <w:bCs/>
          <w:szCs w:val="21"/>
        </w:rPr>
        <w:t>国家重点生态功能区</w:t>
      </w:r>
      <w:r>
        <w:rPr>
          <w:rFonts w:ascii="宋体" w:hAnsi="宋体"/>
          <w:bCs/>
          <w:szCs w:val="21"/>
        </w:rPr>
        <w:fldChar w:fldCharType="end"/>
      </w:r>
      <w:r>
        <w:rPr>
          <w:rFonts w:ascii="宋体" w:hAnsi="宋体"/>
          <w:bCs/>
          <w:szCs w:val="21"/>
        </w:rPr>
        <w:t>、风景名胜区、居住功能区、</w:t>
      </w:r>
      <w:r>
        <w:fldChar w:fldCharType="begin"/>
      </w:r>
      <w:r>
        <w:instrText xml:space="preserve"> HYPERLINK "https://baike.sogou.com/m/fullLemma?lid=7757164&amp;g_ut=3" \t "https://baike.sogou.com/m/_blank" </w:instrText>
      </w:r>
      <w:r>
        <w:fldChar w:fldCharType="separate"/>
      </w:r>
      <w:r>
        <w:rPr>
          <w:rFonts w:ascii="宋体" w:hAnsi="宋体"/>
          <w:bCs/>
          <w:szCs w:val="21"/>
        </w:rPr>
        <w:t>基本农田保护区</w:t>
      </w:r>
      <w:r>
        <w:rPr>
          <w:rFonts w:ascii="宋体" w:hAnsi="宋体"/>
          <w:bCs/>
          <w:szCs w:val="21"/>
        </w:rPr>
        <w:fldChar w:fldCharType="end"/>
      </w:r>
      <w:r>
        <w:rPr>
          <w:rFonts w:ascii="宋体" w:hAnsi="宋体"/>
          <w:bCs/>
          <w:szCs w:val="21"/>
        </w:rPr>
        <w:t>等环境敏感区造成重大不利影响的；</w:t>
      </w:r>
    </w:p>
    <w:p>
      <w:pPr>
        <w:spacing w:line="480" w:lineRule="exact"/>
        <w:ind w:firstLine="645"/>
        <w:jc w:val="left"/>
        <w:rPr>
          <w:rFonts w:ascii="宋体" w:hAnsi="宋体"/>
          <w:bCs/>
          <w:szCs w:val="21"/>
        </w:rPr>
      </w:pPr>
      <w:r>
        <w:rPr>
          <w:rFonts w:ascii="宋体" w:hAnsi="宋体"/>
          <w:bCs/>
          <w:szCs w:val="21"/>
        </w:rPr>
        <w:t>（十）违法从事自然资源开发、交通基础设施建设，以及其他开发建设活动，造成严重生态破坏的；</w:t>
      </w:r>
    </w:p>
    <w:p>
      <w:pPr>
        <w:spacing w:line="480" w:lineRule="exact"/>
        <w:ind w:firstLine="645"/>
        <w:jc w:val="left"/>
        <w:rPr>
          <w:rFonts w:ascii="宋体" w:hAnsi="宋体"/>
          <w:bCs/>
          <w:szCs w:val="21"/>
        </w:rPr>
      </w:pPr>
      <w:r>
        <w:rPr>
          <w:rFonts w:ascii="宋体" w:hAnsi="宋体"/>
          <w:bCs/>
          <w:szCs w:val="21"/>
        </w:rPr>
        <w:t>（十一）发生较大及以上突发环境事件的；</w:t>
      </w:r>
    </w:p>
    <w:p>
      <w:pPr>
        <w:spacing w:line="480" w:lineRule="exact"/>
        <w:ind w:firstLine="645"/>
        <w:jc w:val="left"/>
        <w:rPr>
          <w:rFonts w:ascii="宋体" w:hAnsi="宋体"/>
          <w:bCs/>
          <w:szCs w:val="21"/>
        </w:rPr>
      </w:pPr>
      <w:r>
        <w:rPr>
          <w:rFonts w:ascii="宋体" w:hAnsi="宋体"/>
          <w:bCs/>
          <w:szCs w:val="21"/>
        </w:rPr>
        <w:t>（十二）被环保部门挂牌督办，整改逾期未完成的；</w:t>
      </w:r>
    </w:p>
    <w:p>
      <w:pPr>
        <w:spacing w:line="480" w:lineRule="exact"/>
        <w:ind w:firstLine="645"/>
        <w:jc w:val="left"/>
        <w:rPr>
          <w:rFonts w:ascii="宋体" w:hAnsi="宋体"/>
          <w:bCs/>
          <w:szCs w:val="21"/>
        </w:rPr>
      </w:pPr>
      <w:r>
        <w:rPr>
          <w:rFonts w:ascii="宋体" w:hAnsi="宋体"/>
          <w:bCs/>
          <w:szCs w:val="21"/>
        </w:rPr>
        <w:t>（十三）以暴力、威胁等方式拒绝、阻挠环保部门工作人员现场检查的；</w:t>
      </w:r>
    </w:p>
    <w:p>
      <w:pPr>
        <w:spacing w:line="480" w:lineRule="exact"/>
        <w:ind w:firstLine="645"/>
        <w:jc w:val="left"/>
        <w:rPr>
          <w:rFonts w:ascii="宋体" w:hAnsi="宋体"/>
          <w:bCs/>
          <w:szCs w:val="21"/>
        </w:rPr>
      </w:pPr>
      <w:r>
        <w:rPr>
          <w:rFonts w:ascii="宋体" w:hAnsi="宋体"/>
          <w:bCs/>
          <w:szCs w:val="21"/>
        </w:rPr>
        <w:t>（十四）违反重污染天气应急预案有关规定，对重污染天气响应不力的。</w:t>
      </w:r>
    </w:p>
    <w:p>
      <w:pPr>
        <w:spacing w:line="480" w:lineRule="exact"/>
        <w:ind w:firstLine="645"/>
        <w:jc w:val="left"/>
        <w:rPr>
          <w:rFonts w:ascii="宋体" w:hAnsi="宋体"/>
          <w:bCs/>
          <w:szCs w:val="21"/>
        </w:rPr>
      </w:pPr>
      <w:r>
        <w:rPr>
          <w:rFonts w:hint="eastAsia" w:ascii="宋体" w:hAnsi="宋体"/>
          <w:bCs/>
          <w:szCs w:val="21"/>
        </w:rPr>
        <w:t>依据：《</w:t>
      </w:r>
      <w:r>
        <w:rPr>
          <w:rFonts w:ascii="宋体" w:hAnsi="宋体"/>
          <w:bCs/>
          <w:szCs w:val="21"/>
        </w:rPr>
        <w:t>关于对环境保护领域失信生产经营单位及其有关人员开展联合惩戒的合作备忘录</w:t>
      </w:r>
      <w:r>
        <w:rPr>
          <w:rFonts w:hint="eastAsia" w:ascii="宋体" w:hAnsi="宋体"/>
          <w:bCs/>
          <w:szCs w:val="21"/>
        </w:rPr>
        <w:t>》、</w:t>
      </w:r>
      <w:r>
        <w:rPr>
          <w:rFonts w:ascii="宋体" w:hAnsi="宋体"/>
          <w:bCs/>
          <w:szCs w:val="21"/>
        </w:rPr>
        <w:t>《企业环境信用评价办法（试行）》</w:t>
      </w:r>
      <w:r>
        <w:rPr>
          <w:rFonts w:hint="eastAsia" w:ascii="宋体" w:hAnsi="宋体"/>
          <w:bCs/>
          <w:szCs w:val="21"/>
        </w:rPr>
        <w:t>（</w:t>
      </w:r>
      <w:r>
        <w:rPr>
          <w:rFonts w:ascii="宋体" w:hAnsi="宋体"/>
          <w:bCs/>
          <w:szCs w:val="21"/>
        </w:rPr>
        <w:t>环发〔2013〕150号</w:t>
      </w:r>
      <w:r>
        <w:rPr>
          <w:rFonts w:hint="eastAsia" w:ascii="宋体" w:hAnsi="宋体"/>
          <w:bCs/>
          <w:szCs w:val="21"/>
        </w:rPr>
        <w:t>）</w:t>
      </w:r>
    </w:p>
    <w:p>
      <w:pPr>
        <w:spacing w:line="480" w:lineRule="exact"/>
        <w:ind w:firstLine="645"/>
        <w:jc w:val="left"/>
        <w:rPr>
          <w:rFonts w:ascii="宋体" w:hAnsi="宋体"/>
          <w:bCs/>
          <w:szCs w:val="21"/>
        </w:rPr>
      </w:pPr>
      <w:r>
        <w:rPr>
          <w:rFonts w:hint="eastAsia" w:ascii="宋体" w:hAnsi="宋体"/>
          <w:bCs/>
          <w:szCs w:val="21"/>
        </w:rPr>
        <w:t>三、公共资源交易领域严重失信行为</w:t>
      </w:r>
    </w:p>
    <w:p>
      <w:pPr>
        <w:spacing w:line="480" w:lineRule="exact"/>
        <w:ind w:firstLine="645"/>
        <w:jc w:val="left"/>
        <w:rPr>
          <w:bCs/>
          <w:szCs w:val="21"/>
        </w:rPr>
      </w:pPr>
      <w:r>
        <w:rPr>
          <w:bCs/>
          <w:szCs w:val="21"/>
        </w:rPr>
        <w:t xml:space="preserve">（一）违反法律规定，必须进行招标的项目而不招标的，将必须进行招标的项目化整为零或者以其他任何方式规避招标的； </w:t>
      </w:r>
    </w:p>
    <w:p>
      <w:pPr>
        <w:spacing w:line="480" w:lineRule="exact"/>
        <w:ind w:firstLine="645"/>
        <w:jc w:val="left"/>
        <w:rPr>
          <w:bCs/>
          <w:szCs w:val="21"/>
        </w:rPr>
      </w:pPr>
      <w:r>
        <w:rPr>
          <w:bCs/>
          <w:szCs w:val="21"/>
        </w:rPr>
        <w:t>（二）招标代理机构违反法律规定，泄露应当保密的与招标投标活动有关的情况和资料的，或者与招标人、供应商串通损害国家利益</w:t>
      </w:r>
      <w:r>
        <w:rPr>
          <w:rFonts w:hint="eastAsia"/>
          <w:bCs/>
          <w:szCs w:val="21"/>
        </w:rPr>
        <w:t>、</w:t>
      </w:r>
      <w:r>
        <w:rPr>
          <w:bCs/>
          <w:szCs w:val="21"/>
        </w:rPr>
        <w:t>社会公共利益或者他人合法权益的；</w:t>
      </w:r>
    </w:p>
    <w:p>
      <w:pPr>
        <w:spacing w:line="480" w:lineRule="exact"/>
        <w:ind w:firstLine="645"/>
        <w:jc w:val="left"/>
        <w:rPr>
          <w:bCs/>
          <w:szCs w:val="21"/>
        </w:rPr>
      </w:pPr>
      <w:r>
        <w:rPr>
          <w:bCs/>
          <w:szCs w:val="21"/>
        </w:rPr>
        <w:t xml:space="preserve"> （三）招标人以不合理的条件限制或者排斥潜在供应商的，对潜在供应商实行歧视待遇的，强制要求供应商组成联合体共同投标的</w:t>
      </w:r>
      <w:r>
        <w:rPr>
          <w:rFonts w:hint="eastAsia"/>
          <w:bCs/>
          <w:szCs w:val="21"/>
        </w:rPr>
        <w:t>，</w:t>
      </w:r>
      <w:r>
        <w:rPr>
          <w:bCs/>
          <w:szCs w:val="21"/>
        </w:rPr>
        <w:t>或者限制供应商之间竞争的；</w:t>
      </w:r>
    </w:p>
    <w:p>
      <w:pPr>
        <w:spacing w:line="480" w:lineRule="exact"/>
        <w:ind w:firstLine="645"/>
        <w:jc w:val="left"/>
        <w:rPr>
          <w:bCs/>
          <w:szCs w:val="21"/>
        </w:rPr>
      </w:pPr>
      <w:r>
        <w:rPr>
          <w:bCs/>
          <w:szCs w:val="21"/>
        </w:rPr>
        <w:t xml:space="preserve"> （四）依法必须进行招标的项目的招标人向他人透露已获取</w:t>
      </w:r>
      <w:r>
        <w:rPr>
          <w:rFonts w:hint="eastAsia"/>
          <w:bCs/>
          <w:szCs w:val="21"/>
        </w:rPr>
        <w:t>招标</w:t>
      </w:r>
      <w:r>
        <w:rPr>
          <w:bCs/>
          <w:szCs w:val="21"/>
        </w:rPr>
        <w:t>文件的潜在供应商的名称、数量或者可能影响公平竞争的有关招标投标的其他情况的，或者泄露标底的；</w:t>
      </w:r>
    </w:p>
    <w:p>
      <w:pPr>
        <w:spacing w:line="480" w:lineRule="exact"/>
        <w:ind w:firstLine="645"/>
        <w:jc w:val="left"/>
        <w:rPr>
          <w:bCs/>
          <w:szCs w:val="21"/>
        </w:rPr>
      </w:pPr>
      <w:r>
        <w:rPr>
          <w:bCs/>
          <w:szCs w:val="21"/>
        </w:rPr>
        <w:t xml:space="preserve"> （五）供应商相互串通投标或者与招标人串通投标的，供应商以向招标人或者</w:t>
      </w:r>
      <w:r>
        <w:rPr>
          <w:rFonts w:hint="eastAsia"/>
          <w:bCs/>
          <w:szCs w:val="21"/>
        </w:rPr>
        <w:t>招标</w:t>
      </w:r>
      <w:r>
        <w:rPr>
          <w:bCs/>
          <w:szCs w:val="21"/>
        </w:rPr>
        <w:t xml:space="preserve">小组成员行贿的手段谋取中标的； </w:t>
      </w:r>
    </w:p>
    <w:p>
      <w:pPr>
        <w:spacing w:line="480" w:lineRule="exact"/>
        <w:ind w:firstLine="667" w:firstLineChars="318"/>
        <w:jc w:val="left"/>
        <w:rPr>
          <w:bCs/>
          <w:szCs w:val="21"/>
        </w:rPr>
      </w:pPr>
      <w:r>
        <w:rPr>
          <w:bCs/>
          <w:szCs w:val="21"/>
        </w:rPr>
        <w:t>（六）供应商以他人名义投标或者以其他方式弄虚作假</w:t>
      </w:r>
      <w:r>
        <w:rPr>
          <w:rFonts w:hint="eastAsia"/>
          <w:bCs/>
          <w:szCs w:val="21"/>
        </w:rPr>
        <w:t>，</w:t>
      </w:r>
      <w:r>
        <w:rPr>
          <w:bCs/>
          <w:szCs w:val="21"/>
        </w:rPr>
        <w:t>骗取中标的；</w:t>
      </w:r>
    </w:p>
    <w:p>
      <w:pPr>
        <w:spacing w:line="480" w:lineRule="exact"/>
        <w:ind w:firstLine="645"/>
        <w:jc w:val="left"/>
        <w:rPr>
          <w:bCs/>
          <w:szCs w:val="21"/>
        </w:rPr>
      </w:pPr>
      <w:r>
        <w:rPr>
          <w:bCs/>
          <w:szCs w:val="21"/>
        </w:rPr>
        <w:t xml:space="preserve"> （七）依法必须进行招标的项目，招标人违反法律规定，与供应商就投标价格、投标方案等实质性内容进行</w:t>
      </w:r>
      <w:r>
        <w:rPr>
          <w:rFonts w:hint="eastAsia"/>
          <w:bCs/>
          <w:szCs w:val="21"/>
        </w:rPr>
        <w:t>招标</w:t>
      </w:r>
      <w:r>
        <w:rPr>
          <w:bCs/>
          <w:szCs w:val="21"/>
        </w:rPr>
        <w:t>的；</w:t>
      </w:r>
    </w:p>
    <w:p>
      <w:pPr>
        <w:spacing w:line="480" w:lineRule="exact"/>
        <w:ind w:firstLine="645"/>
        <w:jc w:val="left"/>
        <w:rPr>
          <w:bCs/>
          <w:szCs w:val="21"/>
        </w:rPr>
      </w:pPr>
      <w:r>
        <w:rPr>
          <w:bCs/>
          <w:szCs w:val="21"/>
        </w:rPr>
        <w:t>（八）</w:t>
      </w:r>
      <w:r>
        <w:rPr>
          <w:rFonts w:hint="eastAsia"/>
          <w:bCs/>
          <w:szCs w:val="21"/>
        </w:rPr>
        <w:t>招标</w:t>
      </w:r>
      <w:r>
        <w:rPr>
          <w:bCs/>
          <w:szCs w:val="21"/>
        </w:rPr>
        <w:t>小组成员收受供应商的财物或者其他好处的，</w:t>
      </w:r>
      <w:r>
        <w:rPr>
          <w:rFonts w:hint="eastAsia"/>
          <w:bCs/>
          <w:szCs w:val="21"/>
        </w:rPr>
        <w:t>招标</w:t>
      </w:r>
      <w:r>
        <w:rPr>
          <w:bCs/>
          <w:szCs w:val="21"/>
        </w:rPr>
        <w:t xml:space="preserve">小组成员或者参加评标的有关工作人员向他人透露对响应文件的评审和比较、中标候选人的推荐以及与评标有关的其他情况的； </w:t>
      </w:r>
    </w:p>
    <w:p>
      <w:pPr>
        <w:spacing w:line="480" w:lineRule="exact"/>
        <w:ind w:firstLine="645"/>
        <w:jc w:val="left"/>
        <w:rPr>
          <w:bCs/>
          <w:szCs w:val="21"/>
        </w:rPr>
      </w:pPr>
      <w:r>
        <w:rPr>
          <w:bCs/>
          <w:szCs w:val="21"/>
        </w:rPr>
        <w:t>（九）招标人在</w:t>
      </w:r>
      <w:r>
        <w:rPr>
          <w:rFonts w:hint="eastAsia"/>
          <w:bCs/>
          <w:szCs w:val="21"/>
        </w:rPr>
        <w:t>招标</w:t>
      </w:r>
      <w:r>
        <w:rPr>
          <w:bCs/>
          <w:szCs w:val="21"/>
        </w:rPr>
        <w:t>小组依法推荐的中标候选人以外确定中标人的，依法必须进行招标的项目在所有投标被</w:t>
      </w:r>
      <w:r>
        <w:rPr>
          <w:rFonts w:hint="eastAsia"/>
          <w:bCs/>
          <w:szCs w:val="21"/>
        </w:rPr>
        <w:t>招标</w:t>
      </w:r>
      <w:r>
        <w:rPr>
          <w:bCs/>
          <w:szCs w:val="21"/>
        </w:rPr>
        <w:t xml:space="preserve">小组否决后自行确定中标人的； </w:t>
      </w:r>
    </w:p>
    <w:p>
      <w:pPr>
        <w:spacing w:line="480" w:lineRule="exact"/>
        <w:ind w:firstLine="645"/>
        <w:jc w:val="left"/>
        <w:rPr>
          <w:bCs/>
          <w:szCs w:val="21"/>
        </w:rPr>
      </w:pPr>
      <w:r>
        <w:rPr>
          <w:bCs/>
          <w:szCs w:val="21"/>
        </w:rPr>
        <w:t xml:space="preserve">（十）中标人将中标项目转让给他人的，将中标项目肢解后分别转让给他人的，违反法律规定将中标项目的部分主体、关键 性工作分包给他人的，或者分包人再次分包的； </w:t>
      </w:r>
    </w:p>
    <w:p>
      <w:pPr>
        <w:spacing w:line="480" w:lineRule="exact"/>
        <w:ind w:firstLine="645"/>
        <w:jc w:val="left"/>
        <w:rPr>
          <w:bCs/>
          <w:szCs w:val="21"/>
        </w:rPr>
      </w:pPr>
      <w:r>
        <w:rPr>
          <w:bCs/>
          <w:szCs w:val="21"/>
        </w:rPr>
        <w:t>（十一）招标人与中标人不按照</w:t>
      </w:r>
      <w:r>
        <w:rPr>
          <w:rFonts w:hint="eastAsia"/>
          <w:bCs/>
          <w:szCs w:val="21"/>
        </w:rPr>
        <w:t>招标</w:t>
      </w:r>
      <w:r>
        <w:rPr>
          <w:bCs/>
          <w:szCs w:val="21"/>
        </w:rPr>
        <w:t xml:space="preserve">文件和中标人的响应文件订立合同的，或者招标人、中标人订立背离合同实质性内容的协议的； </w:t>
      </w:r>
    </w:p>
    <w:p>
      <w:pPr>
        <w:spacing w:line="480" w:lineRule="exact"/>
        <w:ind w:firstLine="645"/>
        <w:jc w:val="left"/>
        <w:rPr>
          <w:bCs/>
          <w:szCs w:val="21"/>
        </w:rPr>
      </w:pPr>
      <w:r>
        <w:rPr>
          <w:bCs/>
          <w:szCs w:val="21"/>
        </w:rPr>
        <w:t xml:space="preserve">（十二）中标人不按照与招标人订立的合同履行义务，情节严重的； </w:t>
      </w:r>
    </w:p>
    <w:p>
      <w:pPr>
        <w:spacing w:line="480" w:lineRule="exact"/>
        <w:ind w:firstLine="645"/>
        <w:jc w:val="left"/>
        <w:rPr>
          <w:bCs/>
          <w:szCs w:val="21"/>
        </w:rPr>
      </w:pPr>
      <w:r>
        <w:rPr>
          <w:bCs/>
          <w:szCs w:val="21"/>
        </w:rPr>
        <w:t>（十三）采购人、采购代理机构存在应当采用公开招标方式而擅自采用其他方式采购，擅自提高采购标准，以不合理的条件对供应商实行差别待遇或者歧视待遇，在招标采购过程中与供应商进行协商</w:t>
      </w:r>
      <w:r>
        <w:rPr>
          <w:rFonts w:hint="eastAsia"/>
          <w:bCs/>
          <w:szCs w:val="21"/>
        </w:rPr>
        <w:t>招标</w:t>
      </w:r>
      <w:r>
        <w:rPr>
          <w:bCs/>
          <w:szCs w:val="21"/>
        </w:rPr>
        <w:t>，中标、成交通知书发出后不与中标、成交供应商签订采购合同，或者拒绝有关部门依法实施监督检查等情形的；</w:t>
      </w:r>
    </w:p>
    <w:p>
      <w:pPr>
        <w:spacing w:line="480" w:lineRule="exact"/>
        <w:ind w:firstLine="645"/>
        <w:jc w:val="left"/>
        <w:rPr>
          <w:bCs/>
          <w:szCs w:val="21"/>
        </w:rPr>
      </w:pPr>
      <w:r>
        <w:rPr>
          <w:bCs/>
          <w:szCs w:val="21"/>
        </w:rPr>
        <w:t xml:space="preserve"> （十四）采购人、采购代理机构及其工作人员存在与供应商或者采购代理机构恶意串通，在采购过程中接受贿赂或者获取其他不正当利益，在有关部门依法实施的监督检查中提供虚假情况</w:t>
      </w:r>
      <w:r>
        <w:rPr>
          <w:rFonts w:hint="eastAsia"/>
          <w:bCs/>
          <w:szCs w:val="21"/>
        </w:rPr>
        <w:t>，</w:t>
      </w:r>
      <w:r>
        <w:rPr>
          <w:bCs/>
          <w:szCs w:val="21"/>
        </w:rPr>
        <w:t>或者开标前泄露标底等情形的；</w:t>
      </w:r>
    </w:p>
    <w:p>
      <w:pPr>
        <w:spacing w:line="480" w:lineRule="exact"/>
        <w:ind w:firstLine="645"/>
        <w:jc w:val="left"/>
        <w:rPr>
          <w:bCs/>
          <w:szCs w:val="21"/>
        </w:rPr>
      </w:pPr>
      <w:r>
        <w:rPr>
          <w:bCs/>
          <w:szCs w:val="21"/>
        </w:rPr>
        <w:t xml:space="preserve"> （十五）采购人对应当实行集中采购的政府采购项目，不委托集中采购机构实行集中采购的； </w:t>
      </w:r>
    </w:p>
    <w:p>
      <w:pPr>
        <w:spacing w:line="480" w:lineRule="exact"/>
        <w:ind w:firstLine="645"/>
        <w:jc w:val="left"/>
        <w:rPr>
          <w:bCs/>
          <w:szCs w:val="21"/>
        </w:rPr>
      </w:pPr>
      <w:r>
        <w:rPr>
          <w:bCs/>
          <w:szCs w:val="21"/>
        </w:rPr>
        <w:t xml:space="preserve">（十六）采购人、采购代理机构违反法律规定隐匿、销毁应当保存的采购文件或者伪造、变造采购文件的； </w:t>
      </w:r>
    </w:p>
    <w:p>
      <w:pPr>
        <w:spacing w:line="480" w:lineRule="exact"/>
        <w:ind w:firstLine="645"/>
        <w:jc w:val="left"/>
        <w:rPr>
          <w:bCs/>
          <w:szCs w:val="21"/>
        </w:rPr>
      </w:pPr>
      <w:r>
        <w:rPr>
          <w:bCs/>
          <w:szCs w:val="21"/>
        </w:rPr>
        <w:t>（十七）供应商存在提供虚假材料谋取中标、成交，采取不正当手段诋毁、排挤其他供应商，与采购人、其他供应商或者采购代理机构恶意串通，向采购人、采购代理机构行贿或者提供其他不正当利益，在招标采购过程中与采购人进行协商</w:t>
      </w:r>
      <w:r>
        <w:rPr>
          <w:rFonts w:hint="eastAsia"/>
          <w:bCs/>
          <w:szCs w:val="21"/>
        </w:rPr>
        <w:t>招标</w:t>
      </w:r>
      <w:r>
        <w:rPr>
          <w:bCs/>
          <w:szCs w:val="21"/>
        </w:rPr>
        <w:t xml:space="preserve">，或拒绝有关部门监督检查或者提供虚假情况等情形的； </w:t>
      </w:r>
    </w:p>
    <w:p>
      <w:pPr>
        <w:spacing w:line="480" w:lineRule="exact"/>
        <w:ind w:left="105" w:hanging="105" w:hangingChars="50"/>
        <w:jc w:val="left"/>
        <w:rPr>
          <w:bCs/>
          <w:szCs w:val="21"/>
        </w:rPr>
      </w:pPr>
      <w:r>
        <w:rPr>
          <w:bCs/>
          <w:szCs w:val="21"/>
        </w:rPr>
        <w:t xml:space="preserve">（十八）疫苗生产企业向县级疾病预防控制机构以外的单位或者个人销售第二类疫苗的； </w:t>
      </w:r>
    </w:p>
    <w:p>
      <w:pPr>
        <w:spacing w:line="480" w:lineRule="exact"/>
        <w:ind w:left="105" w:hanging="105" w:hangingChars="50"/>
        <w:jc w:val="left"/>
        <w:rPr>
          <w:rFonts w:ascii="宋体" w:hAnsi="宋体"/>
          <w:bCs/>
          <w:szCs w:val="21"/>
        </w:rPr>
      </w:pPr>
      <w:r>
        <w:rPr>
          <w:bCs/>
          <w:szCs w:val="21"/>
        </w:rPr>
        <w:t>（十九）存在其他违反公共资源交易法律法规行为的。</w:t>
      </w:r>
    </w:p>
    <w:p>
      <w:pPr>
        <w:spacing w:line="480" w:lineRule="exact"/>
        <w:ind w:firstLine="667" w:firstLineChars="318"/>
        <w:jc w:val="left"/>
        <w:rPr>
          <w:rFonts w:ascii="宋体" w:hAnsi="宋体"/>
          <w:bCs/>
          <w:szCs w:val="21"/>
        </w:rPr>
      </w:pPr>
      <w:r>
        <w:rPr>
          <w:rFonts w:hint="eastAsia" w:ascii="宋体" w:hAnsi="宋体"/>
          <w:bCs/>
          <w:szCs w:val="21"/>
        </w:rPr>
        <w:t>依据：《关于对公共资源交易领域严重失信主体开展联合惩戒的备忘录》（发改法规〔2018〕457号）</w:t>
      </w:r>
    </w:p>
    <w:p>
      <w:pPr>
        <w:spacing w:line="480" w:lineRule="exact"/>
        <w:ind w:firstLine="645"/>
        <w:jc w:val="left"/>
        <w:rPr>
          <w:rFonts w:ascii="宋体" w:hAnsi="宋体"/>
          <w:bCs/>
          <w:szCs w:val="21"/>
        </w:rPr>
      </w:pPr>
    </w:p>
    <w:p>
      <w:pPr>
        <w:spacing w:line="480" w:lineRule="exact"/>
        <w:ind w:firstLine="645"/>
        <w:jc w:val="left"/>
        <w:rPr>
          <w:rFonts w:ascii="宋体" w:hAnsi="宋体"/>
          <w:bCs/>
          <w:szCs w:val="21"/>
        </w:rPr>
      </w:pPr>
      <w:r>
        <w:rPr>
          <w:rFonts w:hint="eastAsia" w:ascii="宋体" w:hAnsi="宋体"/>
          <w:bCs/>
          <w:szCs w:val="21"/>
        </w:rPr>
        <w:t>四、社会保险领域严重失信行为</w:t>
      </w:r>
    </w:p>
    <w:p>
      <w:pPr>
        <w:spacing w:line="480" w:lineRule="exact"/>
        <w:ind w:left="105" w:hanging="105" w:hangingChars="50"/>
        <w:jc w:val="left"/>
        <w:rPr>
          <w:bCs/>
          <w:szCs w:val="21"/>
        </w:rPr>
      </w:pPr>
      <w:r>
        <w:rPr>
          <w:bCs/>
          <w:szCs w:val="21"/>
        </w:rPr>
        <w:t xml:space="preserve">（一）用人单位未按相关规定参加社会保险且拒不整改的； </w:t>
      </w:r>
    </w:p>
    <w:p>
      <w:pPr>
        <w:spacing w:line="480" w:lineRule="exact"/>
        <w:ind w:left="105" w:hanging="105" w:hangingChars="50"/>
        <w:jc w:val="left"/>
        <w:rPr>
          <w:bCs/>
          <w:szCs w:val="21"/>
        </w:rPr>
      </w:pPr>
      <w:r>
        <w:rPr>
          <w:bCs/>
          <w:szCs w:val="21"/>
        </w:rPr>
        <w:t xml:space="preserve">（二）用人单位未如实申报社会保险缴费基数且拒不整改的； </w:t>
      </w:r>
    </w:p>
    <w:p>
      <w:pPr>
        <w:spacing w:line="480" w:lineRule="exact"/>
        <w:ind w:left="105" w:hanging="105" w:hangingChars="50"/>
        <w:jc w:val="left"/>
        <w:rPr>
          <w:bCs/>
          <w:szCs w:val="21"/>
        </w:rPr>
      </w:pPr>
      <w:r>
        <w:rPr>
          <w:bCs/>
          <w:szCs w:val="21"/>
        </w:rPr>
        <w:t xml:space="preserve">（三）应缴纳社会保险费却拒不缴纳的； </w:t>
      </w:r>
    </w:p>
    <w:p>
      <w:pPr>
        <w:spacing w:line="480" w:lineRule="exact"/>
        <w:ind w:left="105" w:hanging="105" w:hangingChars="50"/>
        <w:jc w:val="left"/>
        <w:rPr>
          <w:bCs/>
          <w:szCs w:val="21"/>
        </w:rPr>
      </w:pPr>
      <w:r>
        <w:rPr>
          <w:bCs/>
          <w:szCs w:val="21"/>
        </w:rPr>
        <w:t>（四）隐匿、转移、侵占、挪用社会保险费款、基金或者违规投资运营的；</w:t>
      </w:r>
    </w:p>
    <w:p>
      <w:pPr>
        <w:spacing w:line="480" w:lineRule="exact"/>
        <w:ind w:left="105" w:hanging="105" w:hangingChars="50"/>
        <w:jc w:val="left"/>
        <w:rPr>
          <w:bCs/>
          <w:szCs w:val="21"/>
        </w:rPr>
      </w:pPr>
      <w:r>
        <w:rPr>
          <w:bCs/>
          <w:szCs w:val="21"/>
        </w:rPr>
        <w:t xml:space="preserve">（五）以欺诈、伪造证明材料或者其他手段参加、申报社会保险和骗取社会保险基金支出或社会保险待遇的； </w:t>
      </w:r>
    </w:p>
    <w:p>
      <w:pPr>
        <w:spacing w:line="480" w:lineRule="exact"/>
        <w:ind w:left="105" w:hanging="105" w:hangingChars="50"/>
        <w:jc w:val="left"/>
        <w:rPr>
          <w:bCs/>
          <w:szCs w:val="21"/>
        </w:rPr>
      </w:pPr>
      <w:r>
        <w:rPr>
          <w:bCs/>
          <w:szCs w:val="21"/>
        </w:rPr>
        <w:t xml:space="preserve">（六）非法获取、出售或变相交易社会保险个人权益数据的； </w:t>
      </w:r>
    </w:p>
    <w:p>
      <w:pPr>
        <w:spacing w:line="480" w:lineRule="exact"/>
        <w:ind w:left="105" w:hanging="105" w:hangingChars="50"/>
        <w:jc w:val="left"/>
        <w:rPr>
          <w:bCs/>
          <w:szCs w:val="21"/>
        </w:rPr>
      </w:pPr>
      <w:r>
        <w:rPr>
          <w:bCs/>
          <w:szCs w:val="21"/>
        </w:rPr>
        <w:t xml:space="preserve">（七）社会保险服务机构违反服务协议或相关规定的； </w:t>
      </w:r>
    </w:p>
    <w:p>
      <w:pPr>
        <w:spacing w:line="480" w:lineRule="exact"/>
        <w:ind w:left="105" w:hanging="105" w:hangingChars="50"/>
        <w:jc w:val="left"/>
        <w:rPr>
          <w:bCs/>
          <w:szCs w:val="21"/>
        </w:rPr>
      </w:pPr>
      <w:r>
        <w:rPr>
          <w:bCs/>
          <w:szCs w:val="21"/>
        </w:rPr>
        <w:t xml:space="preserve">（八）拒绝协助社会保险行政部门、经办机构对事故和问题进 行调查核实的；拒绝接受或协助税务部门对社会保险实施监督检查， 不如实提供与社会保险相关各项资料的； </w:t>
      </w:r>
    </w:p>
    <w:p>
      <w:pPr>
        <w:spacing w:line="480" w:lineRule="exact"/>
        <w:ind w:left="105" w:hanging="105" w:hangingChars="50"/>
        <w:jc w:val="left"/>
        <w:rPr>
          <w:bCs/>
          <w:szCs w:val="21"/>
        </w:rPr>
      </w:pPr>
      <w:r>
        <w:rPr>
          <w:bCs/>
          <w:szCs w:val="21"/>
        </w:rPr>
        <w:t>（九）其他违反法律法规规定的。</w:t>
      </w:r>
    </w:p>
    <w:p>
      <w:pPr>
        <w:spacing w:line="480" w:lineRule="exact"/>
        <w:ind w:left="420" w:hanging="420" w:hangingChars="200"/>
        <w:jc w:val="left"/>
        <w:rPr>
          <w:bCs/>
          <w:szCs w:val="21"/>
        </w:rPr>
      </w:pPr>
      <w:r>
        <w:rPr>
          <w:rFonts w:hint="eastAsia"/>
          <w:bCs/>
          <w:szCs w:val="21"/>
        </w:rPr>
        <w:t>依据：《关于对社会保险领域严重失信企业及其有关人员实施联合惩戒的合作备忘录》（发改财金〔2018〕1704号）</w:t>
      </w:r>
    </w:p>
    <w:p>
      <w:pPr>
        <w:spacing w:line="480" w:lineRule="exact"/>
        <w:jc w:val="left"/>
        <w:rPr>
          <w:rFonts w:ascii="宋体" w:hAnsi="宋体"/>
          <w:bCs/>
          <w:szCs w:val="21"/>
        </w:rPr>
      </w:pPr>
      <w:r>
        <w:rPr>
          <w:rFonts w:hint="eastAsia" w:ascii="宋体" w:hAnsi="宋体"/>
          <w:bCs/>
          <w:szCs w:val="21"/>
        </w:rPr>
        <w:t xml:space="preserve">     五、建筑市场领域严重失信行为</w:t>
      </w:r>
    </w:p>
    <w:p>
      <w:pPr>
        <w:spacing w:line="480" w:lineRule="exact"/>
        <w:ind w:firstLine="420" w:firstLineChars="200"/>
        <w:jc w:val="left"/>
        <w:rPr>
          <w:bCs/>
          <w:szCs w:val="21"/>
        </w:rPr>
      </w:pPr>
      <w:r>
        <w:rPr>
          <w:bCs/>
          <w:szCs w:val="21"/>
        </w:rPr>
        <w:t>（一）利用虚假材料、以欺骗手段取得企业资质的；</w:t>
      </w:r>
    </w:p>
    <w:p>
      <w:pPr>
        <w:spacing w:line="480" w:lineRule="exact"/>
        <w:ind w:firstLine="420" w:firstLineChars="200"/>
        <w:jc w:val="left"/>
        <w:rPr>
          <w:bCs/>
          <w:szCs w:val="21"/>
        </w:rPr>
      </w:pPr>
      <w:r>
        <w:rPr>
          <w:bCs/>
          <w:szCs w:val="21"/>
        </w:rPr>
        <w:t>（二）发生转包、出借资质，受到行政处罚的；</w:t>
      </w:r>
    </w:p>
    <w:p>
      <w:pPr>
        <w:spacing w:line="480" w:lineRule="exact"/>
        <w:ind w:firstLine="420" w:firstLineChars="200"/>
        <w:jc w:val="left"/>
        <w:rPr>
          <w:bCs/>
          <w:szCs w:val="21"/>
        </w:rPr>
      </w:pPr>
      <w:r>
        <w:rPr>
          <w:bCs/>
          <w:szCs w:val="21"/>
        </w:rPr>
        <w:t>（三）发生重大及以上工程质量安全事故，或1年内累计发生2次及以上较大工程质量安全事故，或发生性质恶劣、危害性严重、社会影响大的较大工程质量安全事故，受到行政处罚的；</w:t>
      </w:r>
    </w:p>
    <w:p>
      <w:pPr>
        <w:spacing w:line="480" w:lineRule="exact"/>
        <w:ind w:firstLine="420" w:firstLineChars="200"/>
        <w:jc w:val="left"/>
        <w:rPr>
          <w:bCs/>
          <w:szCs w:val="21"/>
        </w:rPr>
      </w:pPr>
      <w:r>
        <w:rPr>
          <w:bCs/>
          <w:szCs w:val="21"/>
        </w:rPr>
        <w:t>（四）经法院判决或仲裁机构裁决，认定为拖欠工程款,且拒不履行生效法律文书确定的义务的。</w:t>
      </w:r>
    </w:p>
    <w:p>
      <w:pPr>
        <w:spacing w:line="480" w:lineRule="exact"/>
        <w:ind w:firstLine="420" w:firstLineChars="200"/>
        <w:jc w:val="left"/>
        <w:rPr>
          <w:bCs/>
          <w:szCs w:val="21"/>
        </w:rPr>
      </w:pPr>
      <w:r>
        <w:rPr>
          <w:bCs/>
          <w:szCs w:val="21"/>
        </w:rPr>
        <w:t>各级住房城乡建设主管部门应当参照建筑市场主体“黑名单”，对被人力资源社会保障主管部门列入拖欠农民工工资“黑名单”的建筑市场各方主体加强监管。</w:t>
      </w:r>
    </w:p>
    <w:p>
      <w:pPr>
        <w:spacing w:line="480" w:lineRule="exact"/>
        <w:ind w:firstLine="420" w:firstLineChars="200"/>
        <w:jc w:val="left"/>
        <w:rPr>
          <w:rFonts w:ascii="宋体" w:hAnsi="宋体"/>
          <w:bCs/>
          <w:szCs w:val="21"/>
        </w:rPr>
      </w:pPr>
      <w:r>
        <w:rPr>
          <w:rFonts w:hint="eastAsia"/>
          <w:bCs/>
          <w:szCs w:val="21"/>
        </w:rPr>
        <w:t>依据：《</w:t>
      </w:r>
      <w:r>
        <w:rPr>
          <w:bCs/>
          <w:szCs w:val="21"/>
        </w:rPr>
        <w:t>建筑市场信用管理暂行办法》（建市</w:t>
      </w:r>
      <w:r>
        <w:rPr>
          <w:rFonts w:hint="eastAsia"/>
          <w:bCs/>
          <w:szCs w:val="21"/>
        </w:rPr>
        <w:t>〔</w:t>
      </w:r>
      <w:r>
        <w:rPr>
          <w:bCs/>
          <w:szCs w:val="21"/>
        </w:rPr>
        <w:t>2017</w:t>
      </w:r>
      <w:r>
        <w:rPr>
          <w:rFonts w:hint="eastAsia"/>
          <w:bCs/>
          <w:szCs w:val="21"/>
        </w:rPr>
        <w:t>〕</w:t>
      </w:r>
      <w:r>
        <w:rPr>
          <w:bCs/>
          <w:szCs w:val="21"/>
        </w:rPr>
        <w:t>241号）</w:t>
      </w:r>
    </w:p>
    <w:p>
      <w:pPr>
        <w:spacing w:line="480" w:lineRule="exact"/>
        <w:ind w:firstLine="420" w:firstLineChars="200"/>
        <w:rPr>
          <w:bCs/>
          <w:szCs w:val="21"/>
        </w:rPr>
      </w:pPr>
      <w:r>
        <w:rPr>
          <w:rFonts w:hint="eastAsia" w:ascii="宋体" w:hAnsi="宋体"/>
          <w:bCs/>
          <w:szCs w:val="21"/>
        </w:rPr>
        <w:t>六、</w:t>
      </w:r>
      <w:r>
        <w:rPr>
          <w:rFonts w:ascii="宋体" w:hAnsi="宋体"/>
          <w:bCs/>
          <w:szCs w:val="21"/>
        </w:rPr>
        <w:t>政府采购严重失信行为</w:t>
      </w:r>
    </w:p>
    <w:p>
      <w:pPr>
        <w:spacing w:line="480" w:lineRule="exact"/>
        <w:ind w:firstLine="615"/>
        <w:rPr>
          <w:bCs/>
          <w:szCs w:val="21"/>
        </w:rPr>
      </w:pPr>
      <w:r>
        <w:rPr>
          <w:rFonts w:hint="eastAsia"/>
          <w:bCs/>
          <w:szCs w:val="21"/>
        </w:rPr>
        <w:t>供应商、采购代理机构在三年内受到财政部门作出下列情形之一的行政处罚，列入政府采购严重违法失信行为记录名单。</w:t>
      </w:r>
    </w:p>
    <w:p>
      <w:pPr>
        <w:spacing w:line="480" w:lineRule="exact"/>
        <w:ind w:firstLine="615"/>
        <w:rPr>
          <w:bCs/>
          <w:szCs w:val="21"/>
        </w:rPr>
      </w:pPr>
      <w:r>
        <w:rPr>
          <w:rFonts w:hint="eastAsia"/>
          <w:bCs/>
          <w:szCs w:val="21"/>
        </w:rPr>
        <w:t>　　（一）三万元以上罚款；</w:t>
      </w:r>
    </w:p>
    <w:p>
      <w:pPr>
        <w:spacing w:line="480" w:lineRule="exact"/>
        <w:ind w:firstLine="615"/>
        <w:rPr>
          <w:bCs/>
          <w:szCs w:val="21"/>
        </w:rPr>
      </w:pPr>
      <w:r>
        <w:rPr>
          <w:rFonts w:hint="eastAsia"/>
          <w:bCs/>
          <w:szCs w:val="21"/>
        </w:rPr>
        <w:t>　　（二）在一至三年内禁止参加政府采购活动（处罚期限届满的除外）；</w:t>
      </w:r>
    </w:p>
    <w:p>
      <w:pPr>
        <w:spacing w:line="480" w:lineRule="exact"/>
        <w:ind w:firstLine="615"/>
        <w:rPr>
          <w:bCs/>
          <w:szCs w:val="21"/>
        </w:rPr>
      </w:pPr>
      <w:r>
        <w:rPr>
          <w:rFonts w:hint="eastAsia"/>
          <w:bCs/>
          <w:szCs w:val="21"/>
        </w:rPr>
        <w:t>　　（三）在一至三年内禁止代理政府采购业务（处罚期限届满的除外）；</w:t>
      </w:r>
    </w:p>
    <w:p>
      <w:pPr>
        <w:spacing w:line="480" w:lineRule="exact"/>
        <w:ind w:firstLine="615"/>
        <w:rPr>
          <w:bCs/>
          <w:szCs w:val="21"/>
        </w:rPr>
      </w:pPr>
      <w:r>
        <w:rPr>
          <w:rFonts w:hint="eastAsia" w:ascii="宋体" w:hAnsi="宋体"/>
          <w:bCs/>
          <w:szCs w:val="21"/>
        </w:rPr>
        <w:t xml:space="preserve">　 </w:t>
      </w:r>
      <w:r>
        <w:rPr>
          <w:rFonts w:hint="eastAsia"/>
          <w:bCs/>
          <w:szCs w:val="21"/>
        </w:rPr>
        <w:t>（四）撤销政府采购代理机构资格（仅针对《政府采购法》第78条修改前作出的处罚决定）。</w:t>
      </w:r>
    </w:p>
    <w:p>
      <w:pPr>
        <w:spacing w:line="480" w:lineRule="exact"/>
        <w:ind w:firstLine="420" w:firstLineChars="200"/>
        <w:jc w:val="left"/>
      </w:pPr>
      <w:r>
        <w:rPr>
          <w:rFonts w:hint="eastAsia"/>
          <w:bCs/>
          <w:szCs w:val="21"/>
        </w:rPr>
        <w:t>依据：《关于报送政府采购严重违法失信行为信息记录的通知》</w:t>
      </w:r>
      <w:r>
        <w:rPr>
          <w:bCs/>
          <w:szCs w:val="21"/>
        </w:rPr>
        <w:t>（</w:t>
      </w:r>
      <w:r>
        <w:rPr>
          <w:rFonts w:hint="eastAsia"/>
          <w:bCs/>
          <w:szCs w:val="21"/>
        </w:rPr>
        <w:t>财办库〔</w:t>
      </w:r>
      <w:r>
        <w:rPr>
          <w:bCs/>
          <w:szCs w:val="21"/>
        </w:rPr>
        <w:t>201</w:t>
      </w:r>
      <w:r>
        <w:rPr>
          <w:rFonts w:hint="eastAsia"/>
          <w:bCs/>
          <w:szCs w:val="21"/>
        </w:rPr>
        <w:t>4〕526</w:t>
      </w:r>
      <w:r>
        <w:rPr>
          <w:bCs/>
          <w:szCs w:val="21"/>
        </w:rPr>
        <w:t>号）</w:t>
      </w:r>
    </w:p>
    <w:p>
      <w:pPr>
        <w:spacing w:line="480" w:lineRule="exact"/>
        <w:ind w:firstLine="420" w:firstLineChars="200"/>
        <w:rPr>
          <w:rFonts w:ascii="宋体" w:hAnsi="宋体" w:cs="宋体"/>
          <w:bCs/>
          <w:szCs w:val="21"/>
        </w:rPr>
      </w:pPr>
      <w:r>
        <w:rPr>
          <w:rFonts w:hint="eastAsia" w:ascii="宋体" w:hAnsi="宋体" w:cs="宋体"/>
          <w:bCs/>
          <w:szCs w:val="21"/>
        </w:rPr>
        <w:t>七、水利建设领域严重失信行为</w:t>
      </w:r>
    </w:p>
    <w:p>
      <w:pPr>
        <w:pStyle w:val="24"/>
        <w:shd w:val="clear" w:color="auto" w:fill="FFFFFF"/>
        <w:spacing w:before="0" w:beforeAutospacing="0" w:after="0" w:afterAutospacing="0" w:line="480" w:lineRule="exact"/>
        <w:ind w:firstLine="420" w:firstLineChars="200"/>
        <w:rPr>
          <w:bCs/>
          <w:color w:val="000000"/>
          <w:kern w:val="2"/>
          <w:sz w:val="21"/>
          <w:szCs w:val="21"/>
        </w:rPr>
      </w:pPr>
      <w:r>
        <w:rPr>
          <w:rFonts w:hint="eastAsia"/>
          <w:bCs/>
          <w:color w:val="000000"/>
          <w:kern w:val="2"/>
          <w:sz w:val="21"/>
          <w:szCs w:val="21"/>
        </w:rPr>
        <w:t>（一）1年内不良行为记录累计扣分达到20分的；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（二）"重点关注名单"公开期满后仍不整改的；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（三）存在以下严重危害人民群众身体健康、生命安全和工程质量，以及特别严重违规行为之一的：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1.发生重大、特大质量或安全事故，并负有直接责任的；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2.在单位公开信息、工程相关技术成果和工程建设过程中隐瞒真实情况、弄虚作假，提供虚假材料，谋取不正当利益的；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3.违反有关法律、法规、规章、政策、技术标准、设计文件、合同等有关规定开展工作造成的工程质量问题，经处理后仍影响工程正常使用或减少工程使用寿命的；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4.违反规定施工，造成生态环境严重破坏且拒不修复的；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5.被证实恶意制造工程质量缺陷或质量隐患的；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6.其他违反法律法规，造成严重后果或社会危害较大的。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（四）存在以下严重破坏市场公平竞争秩序和社会正常秩序行为之一的：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1.不按合同约定，恶意拖欠承包人项目款的；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2.隐瞒有关情况或者提供虚假材料申请资质的，在全国水利建设市场监管服务平台公开虚假信息的，以欺骗、贿赂等不正当手段取得资质等级证书的；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3.出借、借用资质证书,允许他人以本单位名义或借用他人名义等弄虚作假方式承揽业务的；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4.未取得相应资质或超越资质证书核定范围、营业范围承揽业务的；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5.操纵招标过程，谋取不正当利益的；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6.与招标人或供应商串通投标的；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7.以向招标人或招标小组成员行贿的手段谋取中标的；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8.中标后，无正当理由不签订合同的；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9.转包或违法分包所承揽业务的；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10.弄虚作假，以欺诈手段降低工程或设备质量的；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11.单位行贿、受贿，受到刑事处罚的；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12.逃税骗税、恶意逃废债务的；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13.参与非法集资，受到刑事处罚的；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14.在签订、履行合同过程中，存在合同欺诈行为，受到刑事处罚的；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15.虚构工程项目，套取资金的；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16.克扣、无故拖欠农民工工资报酬，数额达到认定拒不支付劳动报酬罪数额标准的；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17.发生社会公共事件，影响较大，并负有直接责任的。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（五）存在以下拒不履行法定义务，严重影响司法机关、行政机关公信力行为之一的：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1.发生事故拒绝接受调查或拒绝提供有关资料的；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2.拒不执行生效的行政处罚决定的；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3.拒不执行仲裁、法院判决结果的。</w:t>
      </w:r>
    </w:p>
    <w:p>
      <w:pPr>
        <w:pStyle w:val="24"/>
        <w:shd w:val="clear" w:color="auto" w:fill="FFFFFF"/>
        <w:spacing w:before="0" w:beforeAutospacing="0" w:after="0" w:afterAutospacing="0" w:line="480" w:lineRule="exact"/>
        <w:rPr>
          <w:bCs/>
          <w:color w:val="000000"/>
          <w:kern w:val="2"/>
          <w:sz w:val="21"/>
          <w:szCs w:val="21"/>
        </w:rPr>
      </w:pPr>
      <w:r>
        <w:rPr>
          <w:rFonts w:hint="eastAsia"/>
          <w:bCs/>
          <w:color w:val="000000"/>
          <w:kern w:val="2"/>
          <w:sz w:val="21"/>
          <w:szCs w:val="21"/>
        </w:rPr>
        <w:t>　　（六）被相关联合惩戒部门列入"黑名单"，符合联合惩戒措施的。</w:t>
      </w:r>
    </w:p>
    <w:p>
      <w:pPr>
        <w:pStyle w:val="24"/>
        <w:shd w:val="clear" w:color="auto" w:fill="FFFFFF"/>
        <w:spacing w:before="0" w:beforeAutospacing="0" w:after="0" w:afterAutospacing="0" w:line="480" w:lineRule="exact"/>
        <w:rPr>
          <w:bCs/>
          <w:color w:val="000000"/>
          <w:sz w:val="21"/>
          <w:szCs w:val="21"/>
        </w:rPr>
      </w:pPr>
      <w:r>
        <w:rPr>
          <w:rFonts w:hint="eastAsia"/>
          <w:bCs/>
          <w:color w:val="000000"/>
          <w:kern w:val="2"/>
          <w:sz w:val="21"/>
          <w:szCs w:val="21"/>
        </w:rPr>
        <w:t>　　生产建设项目水土保持市场主体"黑名单"列入标准见</w:t>
      </w:r>
      <w:r>
        <w:rPr>
          <w:rFonts w:hint="eastAsia"/>
          <w:bCs/>
          <w:color w:val="000000"/>
          <w:sz w:val="21"/>
          <w:szCs w:val="21"/>
        </w:rPr>
        <w:t>《水利建设市场主体信用信息管理办法》</w:t>
      </w:r>
      <w:r>
        <w:rPr>
          <w:rFonts w:hint="eastAsia"/>
          <w:bCs/>
          <w:color w:val="000000"/>
          <w:kern w:val="2"/>
          <w:sz w:val="21"/>
          <w:szCs w:val="21"/>
        </w:rPr>
        <w:t>附件。</w:t>
      </w:r>
    </w:p>
    <w:p>
      <w:pPr>
        <w:spacing w:line="480" w:lineRule="exact"/>
        <w:ind w:firstLine="615"/>
        <w:rPr>
          <w:bCs/>
          <w:szCs w:val="21"/>
        </w:rPr>
      </w:pPr>
      <w:r>
        <w:rPr>
          <w:rFonts w:hint="eastAsia" w:ascii="宋体" w:hAnsi="宋体" w:cs="宋体"/>
          <w:bCs/>
          <w:szCs w:val="21"/>
        </w:rPr>
        <w:t>依据：《水利建设市场主体信用评价管理办法》水建设〔2019〕307号、《水利建设市场主体信用信息管理办法》水建设〔2019〕306号</w:t>
      </w:r>
    </w:p>
    <w:p>
      <w:pPr>
        <w:spacing w:line="480" w:lineRule="exact"/>
        <w:ind w:firstLine="615"/>
        <w:rPr>
          <w:rFonts w:ascii="宋体" w:hAnsi="宋体"/>
          <w:bCs/>
          <w:szCs w:val="21"/>
        </w:rPr>
      </w:pPr>
      <w:r>
        <w:rPr>
          <w:rFonts w:hint="eastAsia" w:ascii="宋体" w:hAnsi="宋体"/>
          <w:bCs/>
          <w:szCs w:val="21"/>
        </w:rPr>
        <w:t>未列出的其他类别严重失信行为，由招标人（代理机构）根据各类别行业主管部门下发的联合惩戒文件进行判断。</w:t>
      </w:r>
    </w:p>
    <w:p>
      <w:pPr>
        <w:pStyle w:val="13"/>
        <w:spacing w:after="0"/>
        <w:rPr>
          <w:rFonts w:ascii="宋体" w:hAnsi="宋体"/>
          <w:b/>
          <w:bCs/>
          <w:sz w:val="28"/>
          <w:szCs w:val="28"/>
        </w:rPr>
      </w:pPr>
    </w:p>
    <w:p>
      <w:pPr>
        <w:pStyle w:val="13"/>
        <w:spacing w:after="0"/>
        <w:rPr>
          <w:rFonts w:ascii="宋体" w:hAnsi="宋体"/>
          <w:b/>
          <w:bCs/>
          <w:sz w:val="28"/>
          <w:szCs w:val="28"/>
        </w:rPr>
      </w:pPr>
    </w:p>
    <w:p>
      <w:pPr>
        <w:pStyle w:val="13"/>
        <w:spacing w:after="0"/>
        <w:rPr>
          <w:rFonts w:ascii="宋体" w:hAnsi="宋体"/>
          <w:b/>
          <w:bCs/>
          <w:sz w:val="28"/>
          <w:szCs w:val="28"/>
        </w:rPr>
      </w:pPr>
    </w:p>
    <w:p>
      <w:pPr>
        <w:pStyle w:val="13"/>
        <w:spacing w:after="0"/>
        <w:rPr>
          <w:rFonts w:ascii="宋体" w:hAnsi="宋体"/>
          <w:b/>
          <w:bCs/>
          <w:sz w:val="28"/>
          <w:szCs w:val="28"/>
        </w:rPr>
      </w:pPr>
    </w:p>
    <w:p>
      <w:pPr>
        <w:pStyle w:val="13"/>
        <w:spacing w:after="0"/>
        <w:rPr>
          <w:rFonts w:ascii="宋体" w:hAnsi="宋体"/>
          <w:b/>
          <w:bCs/>
          <w:sz w:val="28"/>
          <w:szCs w:val="28"/>
        </w:rPr>
      </w:pPr>
    </w:p>
    <w:p>
      <w:pPr>
        <w:pStyle w:val="13"/>
        <w:spacing w:after="0"/>
        <w:rPr>
          <w:rFonts w:ascii="宋体" w:hAnsi="宋体"/>
          <w:b/>
          <w:bCs/>
          <w:sz w:val="28"/>
          <w:szCs w:val="28"/>
        </w:rPr>
      </w:pPr>
    </w:p>
    <w:p>
      <w:pPr>
        <w:pStyle w:val="13"/>
        <w:spacing w:after="0"/>
        <w:rPr>
          <w:rFonts w:ascii="宋体" w:hAnsi="宋体"/>
          <w:b/>
          <w:bCs/>
          <w:sz w:val="28"/>
          <w:szCs w:val="28"/>
        </w:rPr>
      </w:pPr>
    </w:p>
    <w:p>
      <w:pPr>
        <w:pStyle w:val="13"/>
        <w:spacing w:after="0"/>
        <w:rPr>
          <w:rFonts w:ascii="宋体" w:hAnsi="宋体"/>
          <w:b/>
          <w:bCs/>
          <w:sz w:val="28"/>
          <w:szCs w:val="28"/>
        </w:rPr>
      </w:pPr>
    </w:p>
    <w:p>
      <w:pPr>
        <w:pStyle w:val="13"/>
        <w:spacing w:after="0"/>
        <w:rPr>
          <w:rFonts w:ascii="宋体" w:hAnsi="宋体"/>
          <w:b/>
          <w:bCs/>
          <w:sz w:val="28"/>
          <w:szCs w:val="28"/>
        </w:rPr>
      </w:pPr>
    </w:p>
    <w:p>
      <w:pPr>
        <w:pStyle w:val="13"/>
        <w:spacing w:after="0"/>
        <w:jc w:val="center"/>
        <w:rPr>
          <w:rFonts w:ascii="宋体" w:hAnsi="宋体"/>
          <w:b/>
          <w:bCs/>
          <w:sz w:val="28"/>
          <w:szCs w:val="28"/>
        </w:rPr>
      </w:pPr>
      <w:r>
        <w:rPr>
          <w:rFonts w:hint="eastAsia" w:ascii="宋体" w:hAnsi="宋体"/>
          <w:b/>
          <w:bCs/>
          <w:sz w:val="32"/>
          <w:szCs w:val="32"/>
        </w:rPr>
        <w:t>第七章、招标单位、招标代理机构对本交易文件的确认</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jc w:val="center"/>
        </w:trPr>
        <w:tc>
          <w:tcPr>
            <w:tcW w:w="8250" w:type="dxa"/>
          </w:tcPr>
          <w:p>
            <w:pPr>
              <w:autoSpaceDE w:val="0"/>
              <w:autoSpaceDN w:val="0"/>
              <w:adjustRightInd w:val="0"/>
              <w:spacing w:line="600" w:lineRule="exact"/>
              <w:ind w:firstLine="452"/>
              <w:rPr>
                <w:rFonts w:ascii="宋体" w:hAnsi="宋体" w:cs="宋体"/>
                <w:bCs/>
                <w:sz w:val="28"/>
                <w:szCs w:val="28"/>
                <w:lang w:val="zh-CN"/>
              </w:rPr>
            </w:pPr>
          </w:p>
          <w:p>
            <w:pPr>
              <w:autoSpaceDE w:val="0"/>
              <w:autoSpaceDN w:val="0"/>
              <w:adjustRightInd w:val="0"/>
              <w:spacing w:line="600" w:lineRule="exact"/>
              <w:ind w:left="210" w:leftChars="100" w:firstLine="280" w:firstLineChars="100"/>
              <w:rPr>
                <w:rFonts w:ascii="宋体" w:hAnsi="宋体"/>
                <w:bCs/>
                <w:sz w:val="28"/>
                <w:szCs w:val="28"/>
              </w:rPr>
            </w:pPr>
            <w:r>
              <w:rPr>
                <w:rFonts w:hint="eastAsia" w:ascii="宋体" w:hAnsi="宋体" w:cs="宋体"/>
                <w:bCs/>
                <w:sz w:val="28"/>
                <w:szCs w:val="28"/>
                <w:lang w:val="zh-CN"/>
              </w:rPr>
              <w:t>我单位对</w:t>
            </w:r>
            <w:r>
              <w:rPr>
                <w:rFonts w:hint="eastAsia" w:ascii="宋体" w:hAnsi="宋体" w:cs="宋体"/>
                <w:bCs/>
                <w:sz w:val="28"/>
                <w:szCs w:val="28"/>
                <w:u w:val="single"/>
                <w:lang w:val="zh-CN"/>
              </w:rPr>
              <w:t>安徽滁州技师学院新校区信息化建设跟踪(结算)审计服务采购项目</w:t>
            </w:r>
            <w:r>
              <w:rPr>
                <w:rFonts w:hint="eastAsia" w:ascii="宋体" w:hAnsi="宋体" w:cs="宋体"/>
                <w:bCs/>
                <w:sz w:val="28"/>
                <w:szCs w:val="28"/>
                <w:lang w:val="zh-CN"/>
              </w:rPr>
              <w:t>交易文件进行确认。</w:t>
            </w:r>
          </w:p>
          <w:p>
            <w:pPr>
              <w:autoSpaceDE w:val="0"/>
              <w:autoSpaceDN w:val="0"/>
              <w:adjustRightInd w:val="0"/>
              <w:spacing w:line="600" w:lineRule="exact"/>
              <w:ind w:firstLine="280" w:firstLineChars="100"/>
              <w:rPr>
                <w:rFonts w:ascii="宋体" w:hAnsi="宋体" w:cs="宋体"/>
                <w:sz w:val="28"/>
                <w:szCs w:val="28"/>
                <w:lang w:val="zh-CN"/>
              </w:rPr>
            </w:pPr>
            <w:r>
              <w:rPr>
                <w:rFonts w:hint="eastAsia" w:ascii="宋体" w:hAnsi="宋体" w:cs="宋体"/>
                <w:sz w:val="28"/>
                <w:szCs w:val="28"/>
                <w:lang w:val="zh-CN"/>
              </w:rPr>
              <w:t>招标单位：滁州市机电工程学校</w:t>
            </w:r>
          </w:p>
          <w:p>
            <w:pPr>
              <w:autoSpaceDE w:val="0"/>
              <w:autoSpaceDN w:val="0"/>
              <w:adjustRightInd w:val="0"/>
              <w:spacing w:line="600" w:lineRule="exact"/>
              <w:ind w:firstLine="280" w:firstLineChars="100"/>
              <w:rPr>
                <w:rFonts w:ascii="宋体" w:hAnsi="宋体" w:cs="宋体"/>
                <w:sz w:val="28"/>
                <w:szCs w:val="28"/>
                <w:lang w:val="zh-CN"/>
              </w:rPr>
            </w:pPr>
            <w:r>
              <w:rPr>
                <w:rFonts w:hint="eastAsia" w:ascii="宋体" w:hAnsi="宋体" w:cs="宋体"/>
                <w:sz w:val="28"/>
                <w:szCs w:val="28"/>
                <w:lang w:val="zh-CN"/>
              </w:rPr>
              <w:t xml:space="preserve">招标人代表：朱老师 </w:t>
            </w:r>
          </w:p>
          <w:p>
            <w:pPr>
              <w:spacing w:line="500" w:lineRule="exact"/>
              <w:ind w:firstLine="280" w:firstLineChars="100"/>
              <w:rPr>
                <w:rFonts w:ascii="宋体" w:hAnsi="宋体"/>
                <w:sz w:val="28"/>
                <w:szCs w:val="28"/>
              </w:rPr>
            </w:pPr>
            <w:r>
              <w:rPr>
                <w:rFonts w:hint="eastAsia" w:ascii="宋体" w:hAnsi="宋体" w:cs="宋体"/>
                <w:sz w:val="28"/>
                <w:szCs w:val="28"/>
                <w:lang w:val="zh-CN"/>
              </w:rPr>
              <w:t>联系电话：18900505600</w:t>
            </w:r>
          </w:p>
          <w:p>
            <w:pPr>
              <w:spacing w:line="500" w:lineRule="exact"/>
              <w:jc w:val="right"/>
              <w:rPr>
                <w:rFonts w:ascii="宋体" w:hAnsi="宋体"/>
                <w:sz w:val="28"/>
                <w:szCs w:val="28"/>
              </w:rPr>
            </w:pPr>
          </w:p>
          <w:p>
            <w:pPr>
              <w:spacing w:line="500" w:lineRule="exact"/>
              <w:jc w:val="right"/>
              <w:rPr>
                <w:rFonts w:ascii="宋体" w:hAnsi="宋体"/>
                <w:sz w:val="28"/>
                <w:szCs w:val="28"/>
              </w:rPr>
            </w:pPr>
          </w:p>
          <w:p>
            <w:pPr>
              <w:spacing w:line="500" w:lineRule="exact"/>
              <w:ind w:right="560"/>
              <w:jc w:val="right"/>
              <w:rPr>
                <w:rFonts w:ascii="宋体" w:hAnsi="宋体"/>
                <w:sz w:val="28"/>
                <w:szCs w:val="28"/>
              </w:rPr>
            </w:pPr>
            <w:r>
              <w:rPr>
                <w:rFonts w:hint="eastAsia" w:ascii="宋体" w:hAnsi="宋体"/>
                <w:sz w:val="28"/>
                <w:szCs w:val="28"/>
              </w:rPr>
              <w:t>（单位盖章）</w:t>
            </w:r>
          </w:p>
          <w:p>
            <w:pPr>
              <w:spacing w:line="560" w:lineRule="exact"/>
              <w:ind w:right="560"/>
              <w:jc w:val="right"/>
              <w:rPr>
                <w:rFonts w:ascii="宋体" w:hAnsi="宋体"/>
                <w:sz w:val="28"/>
                <w:szCs w:val="28"/>
              </w:rPr>
            </w:pPr>
            <w:r>
              <w:rPr>
                <w:rFonts w:hint="eastAsia" w:ascii="宋体" w:hAnsi="宋体"/>
                <w:sz w:val="28"/>
                <w:szCs w:val="28"/>
              </w:rPr>
              <w:t>2024年</w:t>
            </w:r>
            <w:r>
              <w:rPr>
                <w:rFonts w:hint="eastAsia" w:ascii="宋体" w:hAnsi="宋体"/>
                <w:sz w:val="28"/>
                <w:szCs w:val="28"/>
                <w:lang w:val="en-US" w:eastAsia="zh-CN"/>
              </w:rPr>
              <w:t>3</w:t>
            </w:r>
            <w:r>
              <w:rPr>
                <w:rFonts w:hint="eastAsia" w:ascii="宋体" w:hAnsi="宋体"/>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8" w:hRule="exact"/>
          <w:jc w:val="center"/>
        </w:trPr>
        <w:tc>
          <w:tcPr>
            <w:tcW w:w="8250" w:type="dxa"/>
          </w:tcPr>
          <w:p>
            <w:pPr>
              <w:spacing w:line="560" w:lineRule="exact"/>
              <w:rPr>
                <w:rFonts w:ascii="宋体" w:hAnsi="宋体"/>
                <w:sz w:val="28"/>
                <w:szCs w:val="28"/>
              </w:rPr>
            </w:pPr>
          </w:p>
          <w:p>
            <w:pPr>
              <w:spacing w:line="560" w:lineRule="exact"/>
              <w:rPr>
                <w:rFonts w:ascii="宋体" w:hAnsi="宋体"/>
                <w:sz w:val="28"/>
                <w:szCs w:val="28"/>
              </w:rPr>
            </w:pPr>
          </w:p>
          <w:p>
            <w:pPr>
              <w:spacing w:line="360" w:lineRule="auto"/>
              <w:ind w:firstLine="280" w:firstLineChars="100"/>
              <w:rPr>
                <w:rFonts w:hint="eastAsia" w:ascii="宋体" w:hAnsi="宋体" w:eastAsia="宋体"/>
                <w:sz w:val="28"/>
                <w:szCs w:val="28"/>
                <w:lang w:eastAsia="zh-CN"/>
              </w:rPr>
            </w:pPr>
            <w:r>
              <w:rPr>
                <w:rFonts w:hint="eastAsia" w:ascii="宋体" w:hAnsi="宋体"/>
                <w:sz w:val="28"/>
                <w:szCs w:val="28"/>
              </w:rPr>
              <w:t>招标代理机构：</w:t>
            </w:r>
            <w:r>
              <w:rPr>
                <w:rFonts w:hint="eastAsia" w:ascii="宋体" w:hAnsi="宋体"/>
                <w:sz w:val="28"/>
                <w:szCs w:val="28"/>
                <w:lang w:eastAsia="zh-CN"/>
              </w:rPr>
              <w:t>容诚工程咨询有限公司</w:t>
            </w:r>
          </w:p>
          <w:p>
            <w:pPr>
              <w:autoSpaceDE w:val="0"/>
              <w:autoSpaceDN w:val="0"/>
              <w:adjustRightInd w:val="0"/>
              <w:spacing w:line="600" w:lineRule="exact"/>
              <w:ind w:firstLine="280" w:firstLineChars="100"/>
              <w:rPr>
                <w:rFonts w:hint="eastAsia" w:ascii="宋体" w:hAnsi="宋体" w:eastAsia="宋体"/>
                <w:sz w:val="28"/>
                <w:szCs w:val="28"/>
                <w:lang w:eastAsia="zh-CN"/>
              </w:rPr>
            </w:pPr>
            <w:r>
              <w:rPr>
                <w:rFonts w:hint="eastAsia" w:ascii="宋体" w:hAnsi="宋体" w:cs="宋体"/>
                <w:sz w:val="28"/>
                <w:szCs w:val="28"/>
                <w:lang w:val="zh-CN"/>
              </w:rPr>
              <w:t>经办人：</w:t>
            </w:r>
            <w:r>
              <w:rPr>
                <w:rFonts w:hint="eastAsia" w:ascii="宋体" w:hAnsi="宋体" w:cs="宋体"/>
                <w:sz w:val="28"/>
                <w:szCs w:val="28"/>
                <w:lang w:eastAsia="zh-CN"/>
              </w:rPr>
              <w:t>雷宇</w:t>
            </w:r>
          </w:p>
          <w:p>
            <w:pPr>
              <w:autoSpaceDE w:val="0"/>
              <w:autoSpaceDN w:val="0"/>
              <w:adjustRightInd w:val="0"/>
              <w:spacing w:line="600" w:lineRule="exact"/>
              <w:ind w:firstLine="280" w:firstLineChars="100"/>
              <w:rPr>
                <w:rFonts w:ascii="宋体" w:hAnsi="宋体"/>
                <w:sz w:val="28"/>
                <w:szCs w:val="28"/>
              </w:rPr>
            </w:pPr>
            <w:r>
              <w:rPr>
                <w:rFonts w:hint="eastAsia" w:ascii="宋体" w:hAnsi="宋体" w:cs="宋体"/>
                <w:sz w:val="28"/>
                <w:szCs w:val="28"/>
                <w:lang w:val="zh-CN"/>
              </w:rPr>
              <w:t>联系电话：13615502012</w:t>
            </w:r>
          </w:p>
          <w:p>
            <w:pPr>
              <w:spacing w:line="500" w:lineRule="exact"/>
              <w:ind w:firstLine="280" w:firstLineChars="100"/>
              <w:jc w:val="right"/>
              <w:rPr>
                <w:rFonts w:ascii="宋体" w:hAnsi="宋体"/>
                <w:sz w:val="28"/>
                <w:szCs w:val="28"/>
              </w:rPr>
            </w:pPr>
          </w:p>
          <w:p>
            <w:pPr>
              <w:spacing w:line="500" w:lineRule="exact"/>
              <w:ind w:right="140" w:firstLine="280" w:firstLineChars="100"/>
              <w:jc w:val="right"/>
              <w:rPr>
                <w:rFonts w:ascii="宋体" w:hAnsi="宋体"/>
                <w:sz w:val="28"/>
                <w:szCs w:val="28"/>
              </w:rPr>
            </w:pPr>
          </w:p>
          <w:p>
            <w:pPr>
              <w:spacing w:line="500" w:lineRule="exact"/>
              <w:rPr>
                <w:rFonts w:ascii="宋体" w:hAnsi="宋体"/>
                <w:sz w:val="28"/>
                <w:szCs w:val="28"/>
              </w:rPr>
            </w:pPr>
            <w:r>
              <w:rPr>
                <w:rFonts w:hint="eastAsia" w:ascii="宋体" w:hAnsi="宋体"/>
                <w:sz w:val="28"/>
                <w:szCs w:val="28"/>
              </w:rPr>
              <w:t xml:space="preserve">                                  </w:t>
            </w:r>
          </w:p>
          <w:p>
            <w:pPr>
              <w:tabs>
                <w:tab w:val="left" w:pos="5864"/>
              </w:tabs>
              <w:spacing w:line="500" w:lineRule="exact"/>
              <w:ind w:right="420"/>
              <w:jc w:val="right"/>
              <w:rPr>
                <w:rFonts w:ascii="宋体" w:hAnsi="宋体"/>
                <w:sz w:val="28"/>
                <w:szCs w:val="28"/>
              </w:rPr>
            </w:pPr>
            <w:r>
              <w:rPr>
                <w:rFonts w:hint="eastAsia" w:ascii="宋体" w:hAnsi="宋体"/>
                <w:sz w:val="28"/>
                <w:szCs w:val="28"/>
              </w:rPr>
              <w:t>（单位盖章）</w:t>
            </w:r>
          </w:p>
          <w:p>
            <w:pPr>
              <w:ind w:right="420"/>
              <w:jc w:val="right"/>
              <w:rPr>
                <w:rFonts w:ascii="宋体" w:hAnsi="宋体"/>
                <w:sz w:val="28"/>
                <w:szCs w:val="28"/>
              </w:rPr>
            </w:pPr>
            <w:r>
              <w:rPr>
                <w:rFonts w:hint="eastAsia" w:ascii="宋体" w:hAnsi="宋体"/>
                <w:sz w:val="28"/>
                <w:szCs w:val="28"/>
              </w:rPr>
              <w:t>2024年</w:t>
            </w:r>
            <w:r>
              <w:rPr>
                <w:rFonts w:hint="eastAsia" w:ascii="宋体" w:hAnsi="宋体"/>
                <w:sz w:val="28"/>
                <w:szCs w:val="28"/>
                <w:lang w:val="en-US" w:eastAsia="zh-CN"/>
              </w:rPr>
              <w:t>3</w:t>
            </w:r>
            <w:r>
              <w:rPr>
                <w:rFonts w:hint="eastAsia" w:ascii="宋体" w:hAnsi="宋体"/>
                <w:sz w:val="28"/>
                <w:szCs w:val="28"/>
              </w:rPr>
              <w:t>月</w:t>
            </w:r>
          </w:p>
        </w:tc>
      </w:tr>
    </w:tbl>
    <w:p>
      <w:pPr>
        <w:pStyle w:val="24"/>
        <w:spacing w:line="320" w:lineRule="exact"/>
        <w:rPr>
          <w:kern w:val="2"/>
        </w:rPr>
      </w:pPr>
    </w:p>
    <w:sectPr>
      <w:headerReference r:id="rId13" w:type="default"/>
      <w:footerReference r:id="rId14" w:type="default"/>
      <w:pgSz w:w="11906" w:h="16838"/>
      <w:pgMar w:top="1440" w:right="148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6749A1-A46E-4B6F-A1B6-E8B988C906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20A32B9-8051-42BB-AA64-5225F9F4234B}"/>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embedRegular r:id="rId3" w:fontKey="{9DE8859E-520D-47A5-B13A-3EEE910B8788}"/>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842" w:hanging="422"/>
      <w:rPr>
        <w:rFonts w:ascii="黑体" w:eastAsia="黑体"/>
        <w:b/>
      </w:rPr>
    </w:pPr>
    <w:r>
      <w:rPr>
        <w:rFonts w:hint="eastAsia" w:ascii="黑体" w:eastAsia="黑体"/>
        <w:b/>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hanging="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hanging="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fldChar w:fldCharType="begin"/>
    </w:r>
    <w:r>
      <w:rPr>
        <w:rStyle w:val="31"/>
      </w:rPr>
      <w:instrText xml:space="preserve">PAGE  </w:instrText>
    </w:r>
    <w:r>
      <w:fldChar w:fldCharType="separate"/>
    </w:r>
    <w:r>
      <w:rPr>
        <w:rStyle w:val="31"/>
      </w:rPr>
      <w:t>10</w:t>
    </w:r>
    <w:r>
      <w:fldChar w:fldCharType="end"/>
    </w:r>
  </w:p>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hanging="4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ascii="黑体" w:eastAsia="黑体"/>
        <w:b/>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30291"/>
    <w:multiLevelType w:val="singleLevel"/>
    <w:tmpl w:val="02030291"/>
    <w:lvl w:ilvl="0" w:tentative="0">
      <w:start w:val="1"/>
      <w:numFmt w:val="decimal"/>
      <w:suff w:val="nothing"/>
      <w:lvlText w:val="%1、"/>
      <w:lvlJc w:val="left"/>
    </w:lvl>
  </w:abstractNum>
  <w:abstractNum w:abstractNumId="1">
    <w:nsid w:val="3D022EAC"/>
    <w:multiLevelType w:val="singleLevel"/>
    <w:tmpl w:val="3D022EAC"/>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OGM4ZWU1YTRiYTgyNzhlYzcwZThhMmQwNDIyOGMifQ=="/>
    <w:docVar w:name="KSO_WPS_MARK_KEY" w:val="d8d2d82f-f5d7-4145-aa14-50a4ab1a91ab"/>
  </w:docVars>
  <w:rsids>
    <w:rsidRoot w:val="00172A27"/>
    <w:rsid w:val="0000201D"/>
    <w:rsid w:val="000033E2"/>
    <w:rsid w:val="0000597B"/>
    <w:rsid w:val="00011847"/>
    <w:rsid w:val="00012BAC"/>
    <w:rsid w:val="00014C66"/>
    <w:rsid w:val="0002009D"/>
    <w:rsid w:val="00020BC4"/>
    <w:rsid w:val="0002278A"/>
    <w:rsid w:val="00023909"/>
    <w:rsid w:val="00026303"/>
    <w:rsid w:val="00026AE2"/>
    <w:rsid w:val="000343A4"/>
    <w:rsid w:val="00046441"/>
    <w:rsid w:val="00050193"/>
    <w:rsid w:val="00055D10"/>
    <w:rsid w:val="0005681D"/>
    <w:rsid w:val="000616DB"/>
    <w:rsid w:val="000646F1"/>
    <w:rsid w:val="000708F3"/>
    <w:rsid w:val="00071F25"/>
    <w:rsid w:val="00072D64"/>
    <w:rsid w:val="0007455A"/>
    <w:rsid w:val="000764D6"/>
    <w:rsid w:val="000951DD"/>
    <w:rsid w:val="00097CEE"/>
    <w:rsid w:val="000A5403"/>
    <w:rsid w:val="000A5BF5"/>
    <w:rsid w:val="000A6B21"/>
    <w:rsid w:val="000B6347"/>
    <w:rsid w:val="000C19BF"/>
    <w:rsid w:val="000C4F9F"/>
    <w:rsid w:val="000C6027"/>
    <w:rsid w:val="000E20CA"/>
    <w:rsid w:val="000E5758"/>
    <w:rsid w:val="000F02A1"/>
    <w:rsid w:val="000F17D7"/>
    <w:rsid w:val="000F3455"/>
    <w:rsid w:val="000F7E78"/>
    <w:rsid w:val="00101B14"/>
    <w:rsid w:val="00103670"/>
    <w:rsid w:val="00110B54"/>
    <w:rsid w:val="00110D81"/>
    <w:rsid w:val="0011462A"/>
    <w:rsid w:val="00117036"/>
    <w:rsid w:val="00121028"/>
    <w:rsid w:val="00122DA1"/>
    <w:rsid w:val="001244E7"/>
    <w:rsid w:val="00125B6F"/>
    <w:rsid w:val="00130E39"/>
    <w:rsid w:val="00131305"/>
    <w:rsid w:val="00132BBC"/>
    <w:rsid w:val="0013584E"/>
    <w:rsid w:val="00140755"/>
    <w:rsid w:val="001462AF"/>
    <w:rsid w:val="00146A27"/>
    <w:rsid w:val="001511CF"/>
    <w:rsid w:val="001547F5"/>
    <w:rsid w:val="00160ABC"/>
    <w:rsid w:val="00161110"/>
    <w:rsid w:val="001718A1"/>
    <w:rsid w:val="00172A27"/>
    <w:rsid w:val="00173AFF"/>
    <w:rsid w:val="00184F89"/>
    <w:rsid w:val="00185299"/>
    <w:rsid w:val="00194CF8"/>
    <w:rsid w:val="00194F3F"/>
    <w:rsid w:val="00196FFA"/>
    <w:rsid w:val="001A0134"/>
    <w:rsid w:val="001A0ACF"/>
    <w:rsid w:val="001A3507"/>
    <w:rsid w:val="001B0511"/>
    <w:rsid w:val="001B0591"/>
    <w:rsid w:val="001B50FC"/>
    <w:rsid w:val="001B580A"/>
    <w:rsid w:val="001C5357"/>
    <w:rsid w:val="001D1940"/>
    <w:rsid w:val="001E6EF3"/>
    <w:rsid w:val="001F2B6C"/>
    <w:rsid w:val="001F7ED2"/>
    <w:rsid w:val="00214368"/>
    <w:rsid w:val="002570AD"/>
    <w:rsid w:val="00267EA1"/>
    <w:rsid w:val="0028277C"/>
    <w:rsid w:val="002865EE"/>
    <w:rsid w:val="00287066"/>
    <w:rsid w:val="002878C0"/>
    <w:rsid w:val="0029445D"/>
    <w:rsid w:val="00294C44"/>
    <w:rsid w:val="00295EE8"/>
    <w:rsid w:val="002972D9"/>
    <w:rsid w:val="002A0E64"/>
    <w:rsid w:val="002A374E"/>
    <w:rsid w:val="002A4D2E"/>
    <w:rsid w:val="002A5748"/>
    <w:rsid w:val="002A6A15"/>
    <w:rsid w:val="002B280E"/>
    <w:rsid w:val="002B52EC"/>
    <w:rsid w:val="002B58DB"/>
    <w:rsid w:val="002B636F"/>
    <w:rsid w:val="002C62EE"/>
    <w:rsid w:val="002C6634"/>
    <w:rsid w:val="002C7AFA"/>
    <w:rsid w:val="002E060F"/>
    <w:rsid w:val="002E21DB"/>
    <w:rsid w:val="002E74C0"/>
    <w:rsid w:val="002F1A57"/>
    <w:rsid w:val="002F5A99"/>
    <w:rsid w:val="00304128"/>
    <w:rsid w:val="0030668C"/>
    <w:rsid w:val="00320FA0"/>
    <w:rsid w:val="00320FF4"/>
    <w:rsid w:val="00321FA1"/>
    <w:rsid w:val="00325585"/>
    <w:rsid w:val="00326A98"/>
    <w:rsid w:val="0033398A"/>
    <w:rsid w:val="00335384"/>
    <w:rsid w:val="00341A3F"/>
    <w:rsid w:val="00345BCC"/>
    <w:rsid w:val="00352A93"/>
    <w:rsid w:val="00353510"/>
    <w:rsid w:val="003544B1"/>
    <w:rsid w:val="00361CAD"/>
    <w:rsid w:val="00363237"/>
    <w:rsid w:val="003731A8"/>
    <w:rsid w:val="00374D97"/>
    <w:rsid w:val="00377FE1"/>
    <w:rsid w:val="0038120A"/>
    <w:rsid w:val="003855B8"/>
    <w:rsid w:val="0038561E"/>
    <w:rsid w:val="003A566E"/>
    <w:rsid w:val="003A5CCE"/>
    <w:rsid w:val="003A79F6"/>
    <w:rsid w:val="003B4A49"/>
    <w:rsid w:val="003B4E77"/>
    <w:rsid w:val="003B7062"/>
    <w:rsid w:val="003C182A"/>
    <w:rsid w:val="003C3E80"/>
    <w:rsid w:val="003D0404"/>
    <w:rsid w:val="003D35EF"/>
    <w:rsid w:val="003D4E9B"/>
    <w:rsid w:val="003D6F3B"/>
    <w:rsid w:val="003E01F3"/>
    <w:rsid w:val="003E07A8"/>
    <w:rsid w:val="003E18A2"/>
    <w:rsid w:val="003E5E47"/>
    <w:rsid w:val="003E6847"/>
    <w:rsid w:val="003E6B19"/>
    <w:rsid w:val="003F279E"/>
    <w:rsid w:val="00400BC4"/>
    <w:rsid w:val="00406FE8"/>
    <w:rsid w:val="00407192"/>
    <w:rsid w:val="004115FA"/>
    <w:rsid w:val="004133BB"/>
    <w:rsid w:val="0042023F"/>
    <w:rsid w:val="004220F7"/>
    <w:rsid w:val="0043050E"/>
    <w:rsid w:val="00430E10"/>
    <w:rsid w:val="00431702"/>
    <w:rsid w:val="00432E81"/>
    <w:rsid w:val="0044035E"/>
    <w:rsid w:val="00447307"/>
    <w:rsid w:val="004544A6"/>
    <w:rsid w:val="0045645E"/>
    <w:rsid w:val="00456682"/>
    <w:rsid w:val="004643BE"/>
    <w:rsid w:val="004656BF"/>
    <w:rsid w:val="00471E1E"/>
    <w:rsid w:val="00475A08"/>
    <w:rsid w:val="004803F0"/>
    <w:rsid w:val="004A1795"/>
    <w:rsid w:val="004A717D"/>
    <w:rsid w:val="004C15A9"/>
    <w:rsid w:val="004C2D59"/>
    <w:rsid w:val="004C3A1F"/>
    <w:rsid w:val="004C3D6A"/>
    <w:rsid w:val="004C7187"/>
    <w:rsid w:val="004C76D6"/>
    <w:rsid w:val="004D1030"/>
    <w:rsid w:val="004D1A25"/>
    <w:rsid w:val="004D1BBF"/>
    <w:rsid w:val="004D5510"/>
    <w:rsid w:val="004E34AC"/>
    <w:rsid w:val="004E7989"/>
    <w:rsid w:val="004F0731"/>
    <w:rsid w:val="004F4629"/>
    <w:rsid w:val="0050059F"/>
    <w:rsid w:val="00501CB4"/>
    <w:rsid w:val="00505017"/>
    <w:rsid w:val="00505A9C"/>
    <w:rsid w:val="00506422"/>
    <w:rsid w:val="00507B06"/>
    <w:rsid w:val="00514B6C"/>
    <w:rsid w:val="00520719"/>
    <w:rsid w:val="00523D9D"/>
    <w:rsid w:val="0053180B"/>
    <w:rsid w:val="0053477E"/>
    <w:rsid w:val="00540B92"/>
    <w:rsid w:val="00540C73"/>
    <w:rsid w:val="0054211F"/>
    <w:rsid w:val="00545ABC"/>
    <w:rsid w:val="00551249"/>
    <w:rsid w:val="0055336B"/>
    <w:rsid w:val="0055518D"/>
    <w:rsid w:val="0055644A"/>
    <w:rsid w:val="005619F5"/>
    <w:rsid w:val="00562068"/>
    <w:rsid w:val="005714DA"/>
    <w:rsid w:val="005736B2"/>
    <w:rsid w:val="00581AB5"/>
    <w:rsid w:val="00582840"/>
    <w:rsid w:val="005853F9"/>
    <w:rsid w:val="00587051"/>
    <w:rsid w:val="00590EA8"/>
    <w:rsid w:val="005940EA"/>
    <w:rsid w:val="005948E2"/>
    <w:rsid w:val="00595973"/>
    <w:rsid w:val="0059634E"/>
    <w:rsid w:val="005A7555"/>
    <w:rsid w:val="005C1ED8"/>
    <w:rsid w:val="005C61D7"/>
    <w:rsid w:val="005C7CDD"/>
    <w:rsid w:val="005D3252"/>
    <w:rsid w:val="005D5737"/>
    <w:rsid w:val="005F3D08"/>
    <w:rsid w:val="00603BF1"/>
    <w:rsid w:val="00610DE4"/>
    <w:rsid w:val="0061122C"/>
    <w:rsid w:val="00611E13"/>
    <w:rsid w:val="0062570E"/>
    <w:rsid w:val="00631428"/>
    <w:rsid w:val="00636FA7"/>
    <w:rsid w:val="00642CF1"/>
    <w:rsid w:val="006440AC"/>
    <w:rsid w:val="00646C77"/>
    <w:rsid w:val="006607E6"/>
    <w:rsid w:val="006650E8"/>
    <w:rsid w:val="00667464"/>
    <w:rsid w:val="00672B40"/>
    <w:rsid w:val="006778E0"/>
    <w:rsid w:val="00680277"/>
    <w:rsid w:val="006811E8"/>
    <w:rsid w:val="00683B41"/>
    <w:rsid w:val="00691671"/>
    <w:rsid w:val="006919E7"/>
    <w:rsid w:val="006B5DF6"/>
    <w:rsid w:val="006C4D34"/>
    <w:rsid w:val="006D3BA9"/>
    <w:rsid w:val="006E2EE3"/>
    <w:rsid w:val="0070236C"/>
    <w:rsid w:val="0070353E"/>
    <w:rsid w:val="007044C9"/>
    <w:rsid w:val="00707480"/>
    <w:rsid w:val="007126B2"/>
    <w:rsid w:val="00712FA3"/>
    <w:rsid w:val="00713542"/>
    <w:rsid w:val="007156FB"/>
    <w:rsid w:val="007168A7"/>
    <w:rsid w:val="007204AE"/>
    <w:rsid w:val="00732431"/>
    <w:rsid w:val="00732CD0"/>
    <w:rsid w:val="007338D9"/>
    <w:rsid w:val="00737055"/>
    <w:rsid w:val="0074330B"/>
    <w:rsid w:val="007438F4"/>
    <w:rsid w:val="00746F3E"/>
    <w:rsid w:val="007535C5"/>
    <w:rsid w:val="00761ABF"/>
    <w:rsid w:val="00763E03"/>
    <w:rsid w:val="00764157"/>
    <w:rsid w:val="00766770"/>
    <w:rsid w:val="00766DAA"/>
    <w:rsid w:val="007673B4"/>
    <w:rsid w:val="00767CD7"/>
    <w:rsid w:val="0077482C"/>
    <w:rsid w:val="00780BB4"/>
    <w:rsid w:val="00780E3C"/>
    <w:rsid w:val="00785304"/>
    <w:rsid w:val="00785C97"/>
    <w:rsid w:val="0078775D"/>
    <w:rsid w:val="007A0F02"/>
    <w:rsid w:val="007A1784"/>
    <w:rsid w:val="007B617A"/>
    <w:rsid w:val="007C203F"/>
    <w:rsid w:val="007C570C"/>
    <w:rsid w:val="007D618D"/>
    <w:rsid w:val="007D6F26"/>
    <w:rsid w:val="007E4966"/>
    <w:rsid w:val="007E5CF7"/>
    <w:rsid w:val="007E6537"/>
    <w:rsid w:val="007F010E"/>
    <w:rsid w:val="007F2E37"/>
    <w:rsid w:val="00804DC6"/>
    <w:rsid w:val="0081333D"/>
    <w:rsid w:val="008164A1"/>
    <w:rsid w:val="008175D8"/>
    <w:rsid w:val="00821153"/>
    <w:rsid w:val="00825476"/>
    <w:rsid w:val="00826E23"/>
    <w:rsid w:val="0083228C"/>
    <w:rsid w:val="0083621B"/>
    <w:rsid w:val="00842BB7"/>
    <w:rsid w:val="00845C5C"/>
    <w:rsid w:val="008470C1"/>
    <w:rsid w:val="00852B04"/>
    <w:rsid w:val="00856675"/>
    <w:rsid w:val="00865BA0"/>
    <w:rsid w:val="00871EA4"/>
    <w:rsid w:val="00872285"/>
    <w:rsid w:val="008776E5"/>
    <w:rsid w:val="00877F3D"/>
    <w:rsid w:val="00881358"/>
    <w:rsid w:val="0088190A"/>
    <w:rsid w:val="00881BDE"/>
    <w:rsid w:val="00883378"/>
    <w:rsid w:val="008863A1"/>
    <w:rsid w:val="00890342"/>
    <w:rsid w:val="0089178A"/>
    <w:rsid w:val="00893C5B"/>
    <w:rsid w:val="00895011"/>
    <w:rsid w:val="00896D3E"/>
    <w:rsid w:val="008A1205"/>
    <w:rsid w:val="008A253A"/>
    <w:rsid w:val="008B102E"/>
    <w:rsid w:val="008B41F8"/>
    <w:rsid w:val="008B5CE0"/>
    <w:rsid w:val="008B720F"/>
    <w:rsid w:val="008B75D1"/>
    <w:rsid w:val="008C367A"/>
    <w:rsid w:val="008D1D1D"/>
    <w:rsid w:val="008E4F25"/>
    <w:rsid w:val="008E55EB"/>
    <w:rsid w:val="008E6F3C"/>
    <w:rsid w:val="008E767D"/>
    <w:rsid w:val="008E7906"/>
    <w:rsid w:val="008E790A"/>
    <w:rsid w:val="008F2AC2"/>
    <w:rsid w:val="008F47D8"/>
    <w:rsid w:val="0090453D"/>
    <w:rsid w:val="0090704E"/>
    <w:rsid w:val="0091113D"/>
    <w:rsid w:val="009113B9"/>
    <w:rsid w:val="009119F8"/>
    <w:rsid w:val="00922E7B"/>
    <w:rsid w:val="009254B6"/>
    <w:rsid w:val="00933344"/>
    <w:rsid w:val="00934F21"/>
    <w:rsid w:val="0093669E"/>
    <w:rsid w:val="009420F7"/>
    <w:rsid w:val="00943952"/>
    <w:rsid w:val="00946AD1"/>
    <w:rsid w:val="009539DB"/>
    <w:rsid w:val="00954E9E"/>
    <w:rsid w:val="009564AE"/>
    <w:rsid w:val="00956C38"/>
    <w:rsid w:val="00962DED"/>
    <w:rsid w:val="009922F3"/>
    <w:rsid w:val="0099351E"/>
    <w:rsid w:val="00994DDE"/>
    <w:rsid w:val="0099736C"/>
    <w:rsid w:val="009A1C4C"/>
    <w:rsid w:val="009A2166"/>
    <w:rsid w:val="009A3538"/>
    <w:rsid w:val="009B4520"/>
    <w:rsid w:val="009B7688"/>
    <w:rsid w:val="009D202D"/>
    <w:rsid w:val="009D3270"/>
    <w:rsid w:val="009E5263"/>
    <w:rsid w:val="009F4C99"/>
    <w:rsid w:val="009F7E44"/>
    <w:rsid w:val="00A010F8"/>
    <w:rsid w:val="00A05CA1"/>
    <w:rsid w:val="00A06D21"/>
    <w:rsid w:val="00A1275D"/>
    <w:rsid w:val="00A15BB6"/>
    <w:rsid w:val="00A17CEC"/>
    <w:rsid w:val="00A24FBB"/>
    <w:rsid w:val="00A2606D"/>
    <w:rsid w:val="00A338C6"/>
    <w:rsid w:val="00A3752F"/>
    <w:rsid w:val="00A40382"/>
    <w:rsid w:val="00A43C8B"/>
    <w:rsid w:val="00A45B50"/>
    <w:rsid w:val="00A46C99"/>
    <w:rsid w:val="00A52AF0"/>
    <w:rsid w:val="00A5303B"/>
    <w:rsid w:val="00A54DEE"/>
    <w:rsid w:val="00A57776"/>
    <w:rsid w:val="00A63629"/>
    <w:rsid w:val="00A643FC"/>
    <w:rsid w:val="00A648E6"/>
    <w:rsid w:val="00A67020"/>
    <w:rsid w:val="00A91F0A"/>
    <w:rsid w:val="00A9745A"/>
    <w:rsid w:val="00AA1DB6"/>
    <w:rsid w:val="00AA5DB6"/>
    <w:rsid w:val="00AA6312"/>
    <w:rsid w:val="00AB0BB8"/>
    <w:rsid w:val="00AC1D70"/>
    <w:rsid w:val="00AC30D2"/>
    <w:rsid w:val="00AD4C05"/>
    <w:rsid w:val="00AD7423"/>
    <w:rsid w:val="00AD7A7D"/>
    <w:rsid w:val="00AE035E"/>
    <w:rsid w:val="00AE1FBF"/>
    <w:rsid w:val="00AE2285"/>
    <w:rsid w:val="00AE2BAE"/>
    <w:rsid w:val="00AE69E3"/>
    <w:rsid w:val="00AE6C8C"/>
    <w:rsid w:val="00AF12D8"/>
    <w:rsid w:val="00AF2DEE"/>
    <w:rsid w:val="00AF3520"/>
    <w:rsid w:val="00B026C1"/>
    <w:rsid w:val="00B04093"/>
    <w:rsid w:val="00B118C8"/>
    <w:rsid w:val="00B1228F"/>
    <w:rsid w:val="00B1651D"/>
    <w:rsid w:val="00B21CAA"/>
    <w:rsid w:val="00B24097"/>
    <w:rsid w:val="00B34B12"/>
    <w:rsid w:val="00B41DDF"/>
    <w:rsid w:val="00B426B4"/>
    <w:rsid w:val="00B502DB"/>
    <w:rsid w:val="00B6596B"/>
    <w:rsid w:val="00B763FD"/>
    <w:rsid w:val="00B76D73"/>
    <w:rsid w:val="00B83CEA"/>
    <w:rsid w:val="00B84304"/>
    <w:rsid w:val="00B84CB4"/>
    <w:rsid w:val="00B85C00"/>
    <w:rsid w:val="00B9051B"/>
    <w:rsid w:val="00B92789"/>
    <w:rsid w:val="00BA130A"/>
    <w:rsid w:val="00BA18B2"/>
    <w:rsid w:val="00BA2EB6"/>
    <w:rsid w:val="00BA7A93"/>
    <w:rsid w:val="00BB24C6"/>
    <w:rsid w:val="00BB3F41"/>
    <w:rsid w:val="00BC1A31"/>
    <w:rsid w:val="00BC4882"/>
    <w:rsid w:val="00BD5589"/>
    <w:rsid w:val="00BE6D51"/>
    <w:rsid w:val="00BF3493"/>
    <w:rsid w:val="00C003F1"/>
    <w:rsid w:val="00C10609"/>
    <w:rsid w:val="00C106B3"/>
    <w:rsid w:val="00C21CE9"/>
    <w:rsid w:val="00C31E1A"/>
    <w:rsid w:val="00C3262A"/>
    <w:rsid w:val="00C41076"/>
    <w:rsid w:val="00C56A74"/>
    <w:rsid w:val="00C576BF"/>
    <w:rsid w:val="00C64313"/>
    <w:rsid w:val="00C654F7"/>
    <w:rsid w:val="00C66CD2"/>
    <w:rsid w:val="00C75BCA"/>
    <w:rsid w:val="00C808C4"/>
    <w:rsid w:val="00C87E2D"/>
    <w:rsid w:val="00C943F0"/>
    <w:rsid w:val="00C95B9A"/>
    <w:rsid w:val="00CA373B"/>
    <w:rsid w:val="00CB0E20"/>
    <w:rsid w:val="00CB542F"/>
    <w:rsid w:val="00CC10A3"/>
    <w:rsid w:val="00CC1683"/>
    <w:rsid w:val="00CC2C10"/>
    <w:rsid w:val="00CC3EE6"/>
    <w:rsid w:val="00CC510B"/>
    <w:rsid w:val="00CC64E1"/>
    <w:rsid w:val="00CC7E83"/>
    <w:rsid w:val="00CD25DB"/>
    <w:rsid w:val="00CD3357"/>
    <w:rsid w:val="00CD46A2"/>
    <w:rsid w:val="00CD5851"/>
    <w:rsid w:val="00CD7B6A"/>
    <w:rsid w:val="00CE06D7"/>
    <w:rsid w:val="00CE214A"/>
    <w:rsid w:val="00CF3D4F"/>
    <w:rsid w:val="00CF7C18"/>
    <w:rsid w:val="00D024F7"/>
    <w:rsid w:val="00D061F5"/>
    <w:rsid w:val="00D06FB1"/>
    <w:rsid w:val="00D11170"/>
    <w:rsid w:val="00D11856"/>
    <w:rsid w:val="00D12621"/>
    <w:rsid w:val="00D12ED2"/>
    <w:rsid w:val="00D130E3"/>
    <w:rsid w:val="00D20A17"/>
    <w:rsid w:val="00D244FB"/>
    <w:rsid w:val="00D260AB"/>
    <w:rsid w:val="00D30081"/>
    <w:rsid w:val="00D311C5"/>
    <w:rsid w:val="00D333EC"/>
    <w:rsid w:val="00D3714F"/>
    <w:rsid w:val="00D4137B"/>
    <w:rsid w:val="00D4145E"/>
    <w:rsid w:val="00D43784"/>
    <w:rsid w:val="00D437C9"/>
    <w:rsid w:val="00D66016"/>
    <w:rsid w:val="00D704FF"/>
    <w:rsid w:val="00D73400"/>
    <w:rsid w:val="00D73F96"/>
    <w:rsid w:val="00D81B39"/>
    <w:rsid w:val="00D846EA"/>
    <w:rsid w:val="00D85686"/>
    <w:rsid w:val="00D9436A"/>
    <w:rsid w:val="00DA1716"/>
    <w:rsid w:val="00DA3BFF"/>
    <w:rsid w:val="00DA43E6"/>
    <w:rsid w:val="00DA5F68"/>
    <w:rsid w:val="00DB1809"/>
    <w:rsid w:val="00DB3DC6"/>
    <w:rsid w:val="00DC0F8B"/>
    <w:rsid w:val="00DC48A2"/>
    <w:rsid w:val="00DD28A2"/>
    <w:rsid w:val="00DD5E71"/>
    <w:rsid w:val="00DE0C0B"/>
    <w:rsid w:val="00DE1451"/>
    <w:rsid w:val="00DE168A"/>
    <w:rsid w:val="00DE4487"/>
    <w:rsid w:val="00DE5A74"/>
    <w:rsid w:val="00DE7659"/>
    <w:rsid w:val="00DF27D1"/>
    <w:rsid w:val="00DF3182"/>
    <w:rsid w:val="00DF3F19"/>
    <w:rsid w:val="00DF47C6"/>
    <w:rsid w:val="00DF52EB"/>
    <w:rsid w:val="00DF64F7"/>
    <w:rsid w:val="00E00030"/>
    <w:rsid w:val="00E037AA"/>
    <w:rsid w:val="00E175C1"/>
    <w:rsid w:val="00E22B52"/>
    <w:rsid w:val="00E2721B"/>
    <w:rsid w:val="00E340D2"/>
    <w:rsid w:val="00E47E83"/>
    <w:rsid w:val="00E50241"/>
    <w:rsid w:val="00E5477C"/>
    <w:rsid w:val="00E54AEB"/>
    <w:rsid w:val="00E629AD"/>
    <w:rsid w:val="00E63311"/>
    <w:rsid w:val="00E63444"/>
    <w:rsid w:val="00E64BD7"/>
    <w:rsid w:val="00E67096"/>
    <w:rsid w:val="00E70DC0"/>
    <w:rsid w:val="00E71404"/>
    <w:rsid w:val="00E71E73"/>
    <w:rsid w:val="00E746A1"/>
    <w:rsid w:val="00E75437"/>
    <w:rsid w:val="00E75916"/>
    <w:rsid w:val="00E95A80"/>
    <w:rsid w:val="00E97CAC"/>
    <w:rsid w:val="00EA0E25"/>
    <w:rsid w:val="00EA134B"/>
    <w:rsid w:val="00EA5867"/>
    <w:rsid w:val="00EA6FF2"/>
    <w:rsid w:val="00EE3C6F"/>
    <w:rsid w:val="00EF04E1"/>
    <w:rsid w:val="00F00610"/>
    <w:rsid w:val="00F01059"/>
    <w:rsid w:val="00F01309"/>
    <w:rsid w:val="00F01C6C"/>
    <w:rsid w:val="00F029B4"/>
    <w:rsid w:val="00F0410A"/>
    <w:rsid w:val="00F04D6D"/>
    <w:rsid w:val="00F10C40"/>
    <w:rsid w:val="00F137A4"/>
    <w:rsid w:val="00F13D87"/>
    <w:rsid w:val="00F15404"/>
    <w:rsid w:val="00F21AC2"/>
    <w:rsid w:val="00F33450"/>
    <w:rsid w:val="00F35240"/>
    <w:rsid w:val="00F4306D"/>
    <w:rsid w:val="00F44A23"/>
    <w:rsid w:val="00F467D6"/>
    <w:rsid w:val="00F507C9"/>
    <w:rsid w:val="00F55AFD"/>
    <w:rsid w:val="00F56198"/>
    <w:rsid w:val="00F62A9E"/>
    <w:rsid w:val="00F74A57"/>
    <w:rsid w:val="00F7545F"/>
    <w:rsid w:val="00F75721"/>
    <w:rsid w:val="00F83E71"/>
    <w:rsid w:val="00F855B8"/>
    <w:rsid w:val="00F91791"/>
    <w:rsid w:val="00F94D18"/>
    <w:rsid w:val="00F95EEC"/>
    <w:rsid w:val="00FA1968"/>
    <w:rsid w:val="00FA7029"/>
    <w:rsid w:val="00FB258E"/>
    <w:rsid w:val="00FB4512"/>
    <w:rsid w:val="00FB69C7"/>
    <w:rsid w:val="00FD26D4"/>
    <w:rsid w:val="00FD604D"/>
    <w:rsid w:val="00FD620A"/>
    <w:rsid w:val="00FE4B64"/>
    <w:rsid w:val="00FF4EA3"/>
    <w:rsid w:val="00FF7EAE"/>
    <w:rsid w:val="0101070D"/>
    <w:rsid w:val="013C690E"/>
    <w:rsid w:val="01866B02"/>
    <w:rsid w:val="01A432B8"/>
    <w:rsid w:val="01B77C34"/>
    <w:rsid w:val="01F27055"/>
    <w:rsid w:val="02873BB9"/>
    <w:rsid w:val="02A874E4"/>
    <w:rsid w:val="02B80216"/>
    <w:rsid w:val="02BC5164"/>
    <w:rsid w:val="037011E6"/>
    <w:rsid w:val="03AD6254"/>
    <w:rsid w:val="04402F82"/>
    <w:rsid w:val="04E33A5F"/>
    <w:rsid w:val="058363D7"/>
    <w:rsid w:val="05A21435"/>
    <w:rsid w:val="061F41E0"/>
    <w:rsid w:val="0625264A"/>
    <w:rsid w:val="066C696F"/>
    <w:rsid w:val="067347F8"/>
    <w:rsid w:val="07461DEF"/>
    <w:rsid w:val="076B1CFB"/>
    <w:rsid w:val="07865295"/>
    <w:rsid w:val="07941252"/>
    <w:rsid w:val="0814015A"/>
    <w:rsid w:val="083E2F6B"/>
    <w:rsid w:val="08793FA4"/>
    <w:rsid w:val="088A6393"/>
    <w:rsid w:val="08B9674C"/>
    <w:rsid w:val="09093D99"/>
    <w:rsid w:val="092B1742"/>
    <w:rsid w:val="09D058E9"/>
    <w:rsid w:val="09EC7123"/>
    <w:rsid w:val="0A8C77A1"/>
    <w:rsid w:val="0AB63263"/>
    <w:rsid w:val="0AC7223A"/>
    <w:rsid w:val="0AC7549A"/>
    <w:rsid w:val="0AE70B80"/>
    <w:rsid w:val="0B6D1260"/>
    <w:rsid w:val="0B8B64C8"/>
    <w:rsid w:val="0BFB1443"/>
    <w:rsid w:val="0C256D72"/>
    <w:rsid w:val="0C352342"/>
    <w:rsid w:val="0C7B653C"/>
    <w:rsid w:val="0CA11A91"/>
    <w:rsid w:val="0D6E42F3"/>
    <w:rsid w:val="0DC6303C"/>
    <w:rsid w:val="0DF61071"/>
    <w:rsid w:val="0EED262B"/>
    <w:rsid w:val="0F1B4B50"/>
    <w:rsid w:val="0F362BEE"/>
    <w:rsid w:val="0F502839"/>
    <w:rsid w:val="0FCE3109"/>
    <w:rsid w:val="1035792C"/>
    <w:rsid w:val="10BE7B9C"/>
    <w:rsid w:val="10FD4D24"/>
    <w:rsid w:val="110A60E1"/>
    <w:rsid w:val="11586E4C"/>
    <w:rsid w:val="11C736AF"/>
    <w:rsid w:val="123D6042"/>
    <w:rsid w:val="124E178F"/>
    <w:rsid w:val="126544E6"/>
    <w:rsid w:val="12E9710D"/>
    <w:rsid w:val="12F62DC0"/>
    <w:rsid w:val="139A7BF0"/>
    <w:rsid w:val="13F20AE3"/>
    <w:rsid w:val="14AD4F5A"/>
    <w:rsid w:val="14CD18FF"/>
    <w:rsid w:val="150B4D36"/>
    <w:rsid w:val="15117576"/>
    <w:rsid w:val="151B6B0E"/>
    <w:rsid w:val="151C1698"/>
    <w:rsid w:val="155838BF"/>
    <w:rsid w:val="15DF5D0E"/>
    <w:rsid w:val="16297009"/>
    <w:rsid w:val="168F749C"/>
    <w:rsid w:val="172877A1"/>
    <w:rsid w:val="17873EC0"/>
    <w:rsid w:val="188E7B5E"/>
    <w:rsid w:val="189E3A53"/>
    <w:rsid w:val="19235F91"/>
    <w:rsid w:val="192E04F5"/>
    <w:rsid w:val="1962032A"/>
    <w:rsid w:val="1A382177"/>
    <w:rsid w:val="1AC91D37"/>
    <w:rsid w:val="1B4F6EB2"/>
    <w:rsid w:val="1BBC0CDF"/>
    <w:rsid w:val="1BE966C8"/>
    <w:rsid w:val="1CD107EF"/>
    <w:rsid w:val="1CD203FA"/>
    <w:rsid w:val="1CDE4B9F"/>
    <w:rsid w:val="1D34223E"/>
    <w:rsid w:val="1D386CB6"/>
    <w:rsid w:val="1D3C18D5"/>
    <w:rsid w:val="1D7C5A7F"/>
    <w:rsid w:val="1DF47EFC"/>
    <w:rsid w:val="1E556DAE"/>
    <w:rsid w:val="1E990325"/>
    <w:rsid w:val="1F3373F2"/>
    <w:rsid w:val="1FB2006F"/>
    <w:rsid w:val="20D26272"/>
    <w:rsid w:val="20DE6C42"/>
    <w:rsid w:val="2116462E"/>
    <w:rsid w:val="21B55132"/>
    <w:rsid w:val="22E220A2"/>
    <w:rsid w:val="22EC488E"/>
    <w:rsid w:val="235637B4"/>
    <w:rsid w:val="23571659"/>
    <w:rsid w:val="2378512C"/>
    <w:rsid w:val="23924C09"/>
    <w:rsid w:val="23A44173"/>
    <w:rsid w:val="23A7249A"/>
    <w:rsid w:val="23B32608"/>
    <w:rsid w:val="241906BD"/>
    <w:rsid w:val="241B130E"/>
    <w:rsid w:val="243B4AD7"/>
    <w:rsid w:val="24443260"/>
    <w:rsid w:val="248A3369"/>
    <w:rsid w:val="249F7019"/>
    <w:rsid w:val="24C22B02"/>
    <w:rsid w:val="24EB1645"/>
    <w:rsid w:val="25183344"/>
    <w:rsid w:val="2554703D"/>
    <w:rsid w:val="25DC13A1"/>
    <w:rsid w:val="2624159B"/>
    <w:rsid w:val="26BD1008"/>
    <w:rsid w:val="26C756D4"/>
    <w:rsid w:val="273B0D0D"/>
    <w:rsid w:val="27640371"/>
    <w:rsid w:val="27A90391"/>
    <w:rsid w:val="29162207"/>
    <w:rsid w:val="29BB3638"/>
    <w:rsid w:val="29FA010C"/>
    <w:rsid w:val="2AF008E6"/>
    <w:rsid w:val="2B0C276A"/>
    <w:rsid w:val="2B3F207C"/>
    <w:rsid w:val="2C2F4A08"/>
    <w:rsid w:val="2C602C01"/>
    <w:rsid w:val="2D3216CF"/>
    <w:rsid w:val="2D575EAC"/>
    <w:rsid w:val="2D8553E8"/>
    <w:rsid w:val="2DC83619"/>
    <w:rsid w:val="2E042156"/>
    <w:rsid w:val="2E3650FE"/>
    <w:rsid w:val="2E6A7D67"/>
    <w:rsid w:val="2E842B4D"/>
    <w:rsid w:val="2F443315"/>
    <w:rsid w:val="2F6B1FE9"/>
    <w:rsid w:val="2F7E3ACA"/>
    <w:rsid w:val="2FA84D44"/>
    <w:rsid w:val="2FD22068"/>
    <w:rsid w:val="3005316C"/>
    <w:rsid w:val="302512F1"/>
    <w:rsid w:val="30B97A1A"/>
    <w:rsid w:val="316942D8"/>
    <w:rsid w:val="319D646B"/>
    <w:rsid w:val="32D70A63"/>
    <w:rsid w:val="33010C9A"/>
    <w:rsid w:val="336A1D8C"/>
    <w:rsid w:val="33B6697B"/>
    <w:rsid w:val="34504462"/>
    <w:rsid w:val="34B414FB"/>
    <w:rsid w:val="34F70F24"/>
    <w:rsid w:val="3546508A"/>
    <w:rsid w:val="35655629"/>
    <w:rsid w:val="35DC779C"/>
    <w:rsid w:val="365437D6"/>
    <w:rsid w:val="368F71CD"/>
    <w:rsid w:val="36A31726"/>
    <w:rsid w:val="37105372"/>
    <w:rsid w:val="37442C79"/>
    <w:rsid w:val="3794135E"/>
    <w:rsid w:val="37A14D92"/>
    <w:rsid w:val="37A16BDE"/>
    <w:rsid w:val="37A56D79"/>
    <w:rsid w:val="37C417AA"/>
    <w:rsid w:val="37EA51C5"/>
    <w:rsid w:val="384D565F"/>
    <w:rsid w:val="38523D46"/>
    <w:rsid w:val="385E7B72"/>
    <w:rsid w:val="38880D2C"/>
    <w:rsid w:val="390B0AC4"/>
    <w:rsid w:val="39460A0E"/>
    <w:rsid w:val="39BB7E3A"/>
    <w:rsid w:val="3A2F5C4B"/>
    <w:rsid w:val="3AD924FC"/>
    <w:rsid w:val="3B587E71"/>
    <w:rsid w:val="3B697D24"/>
    <w:rsid w:val="3B7121C5"/>
    <w:rsid w:val="3BF36DBD"/>
    <w:rsid w:val="3BFD56FA"/>
    <w:rsid w:val="3D0106F2"/>
    <w:rsid w:val="3D18491D"/>
    <w:rsid w:val="3D527285"/>
    <w:rsid w:val="3DB97CC1"/>
    <w:rsid w:val="3E296943"/>
    <w:rsid w:val="3F1B30E3"/>
    <w:rsid w:val="3F393F90"/>
    <w:rsid w:val="3F6A5E19"/>
    <w:rsid w:val="3F6C7DE3"/>
    <w:rsid w:val="3F8B72DF"/>
    <w:rsid w:val="3F9B61F7"/>
    <w:rsid w:val="3FC05ED4"/>
    <w:rsid w:val="4024246B"/>
    <w:rsid w:val="402C1320"/>
    <w:rsid w:val="41490A37"/>
    <w:rsid w:val="418D0DB6"/>
    <w:rsid w:val="41A03D74"/>
    <w:rsid w:val="41E9396D"/>
    <w:rsid w:val="427570C6"/>
    <w:rsid w:val="42F9198D"/>
    <w:rsid w:val="42FD393F"/>
    <w:rsid w:val="43631114"/>
    <w:rsid w:val="436F1C50"/>
    <w:rsid w:val="43B835F7"/>
    <w:rsid w:val="43E20674"/>
    <w:rsid w:val="43E9091A"/>
    <w:rsid w:val="44112EBB"/>
    <w:rsid w:val="453D7656"/>
    <w:rsid w:val="45BA0151"/>
    <w:rsid w:val="45D60435"/>
    <w:rsid w:val="45F4643C"/>
    <w:rsid w:val="4614088C"/>
    <w:rsid w:val="46345A9D"/>
    <w:rsid w:val="46652ADB"/>
    <w:rsid w:val="46AD4CAD"/>
    <w:rsid w:val="46B427FB"/>
    <w:rsid w:val="47822E6F"/>
    <w:rsid w:val="47D5674F"/>
    <w:rsid w:val="48164D90"/>
    <w:rsid w:val="48955123"/>
    <w:rsid w:val="48F60E2A"/>
    <w:rsid w:val="496B1FB0"/>
    <w:rsid w:val="4A4213D7"/>
    <w:rsid w:val="4A5419C2"/>
    <w:rsid w:val="4A64473B"/>
    <w:rsid w:val="4A68788F"/>
    <w:rsid w:val="4A841F0D"/>
    <w:rsid w:val="4A8A4A91"/>
    <w:rsid w:val="4AA60A94"/>
    <w:rsid w:val="4ACA5CF0"/>
    <w:rsid w:val="4B12247D"/>
    <w:rsid w:val="4B2D7D6A"/>
    <w:rsid w:val="4BD0169A"/>
    <w:rsid w:val="4BDC009E"/>
    <w:rsid w:val="4C4F3781"/>
    <w:rsid w:val="4C621E37"/>
    <w:rsid w:val="4CEC60BF"/>
    <w:rsid w:val="4D282938"/>
    <w:rsid w:val="4D5C763D"/>
    <w:rsid w:val="4D6A1352"/>
    <w:rsid w:val="4D8041DC"/>
    <w:rsid w:val="4DA55EFE"/>
    <w:rsid w:val="4DD3102D"/>
    <w:rsid w:val="4E126B4D"/>
    <w:rsid w:val="4E7A2F6D"/>
    <w:rsid w:val="4E9A0E96"/>
    <w:rsid w:val="4ED41501"/>
    <w:rsid w:val="4F3104E6"/>
    <w:rsid w:val="4FA64C4B"/>
    <w:rsid w:val="4FAD7940"/>
    <w:rsid w:val="500E27F0"/>
    <w:rsid w:val="501871CB"/>
    <w:rsid w:val="50334005"/>
    <w:rsid w:val="504A4F84"/>
    <w:rsid w:val="504F0E3F"/>
    <w:rsid w:val="50610B72"/>
    <w:rsid w:val="50B23C59"/>
    <w:rsid w:val="50EC0D83"/>
    <w:rsid w:val="51367F17"/>
    <w:rsid w:val="518F76C0"/>
    <w:rsid w:val="52060128"/>
    <w:rsid w:val="52110F0C"/>
    <w:rsid w:val="533C1422"/>
    <w:rsid w:val="538771DD"/>
    <w:rsid w:val="53DD0E57"/>
    <w:rsid w:val="54020450"/>
    <w:rsid w:val="54314420"/>
    <w:rsid w:val="54E94AFC"/>
    <w:rsid w:val="54F14BBA"/>
    <w:rsid w:val="55384597"/>
    <w:rsid w:val="553B7BE4"/>
    <w:rsid w:val="554C6B67"/>
    <w:rsid w:val="55515659"/>
    <w:rsid w:val="5586238A"/>
    <w:rsid w:val="56496330"/>
    <w:rsid w:val="56B87163"/>
    <w:rsid w:val="570A2928"/>
    <w:rsid w:val="57201787"/>
    <w:rsid w:val="575B6C94"/>
    <w:rsid w:val="57834433"/>
    <w:rsid w:val="57A41ED3"/>
    <w:rsid w:val="57E502DB"/>
    <w:rsid w:val="584B2F33"/>
    <w:rsid w:val="587A4FB0"/>
    <w:rsid w:val="5A2E0476"/>
    <w:rsid w:val="5A3B360D"/>
    <w:rsid w:val="5A3C7FEC"/>
    <w:rsid w:val="5AC92C52"/>
    <w:rsid w:val="5ADC7426"/>
    <w:rsid w:val="5B5B2D69"/>
    <w:rsid w:val="5B8874CE"/>
    <w:rsid w:val="5BA364E3"/>
    <w:rsid w:val="5BC61043"/>
    <w:rsid w:val="5BCB5E61"/>
    <w:rsid w:val="5BF54D70"/>
    <w:rsid w:val="5C341831"/>
    <w:rsid w:val="5CF323B1"/>
    <w:rsid w:val="5D403159"/>
    <w:rsid w:val="5D5F6439"/>
    <w:rsid w:val="5DC6470A"/>
    <w:rsid w:val="5DE11544"/>
    <w:rsid w:val="5DE81BF4"/>
    <w:rsid w:val="5E096F7B"/>
    <w:rsid w:val="5E266935"/>
    <w:rsid w:val="5E767EDE"/>
    <w:rsid w:val="5E8A2F95"/>
    <w:rsid w:val="5F111507"/>
    <w:rsid w:val="5F775CBC"/>
    <w:rsid w:val="5F811524"/>
    <w:rsid w:val="5FBE38EB"/>
    <w:rsid w:val="60386E30"/>
    <w:rsid w:val="604007A4"/>
    <w:rsid w:val="605745F9"/>
    <w:rsid w:val="606A485E"/>
    <w:rsid w:val="606D131A"/>
    <w:rsid w:val="60730B79"/>
    <w:rsid w:val="60D9222E"/>
    <w:rsid w:val="613E7625"/>
    <w:rsid w:val="6151078F"/>
    <w:rsid w:val="61700504"/>
    <w:rsid w:val="61A60ADB"/>
    <w:rsid w:val="61D7747E"/>
    <w:rsid w:val="62166B9E"/>
    <w:rsid w:val="62191A1D"/>
    <w:rsid w:val="6228784A"/>
    <w:rsid w:val="622C1C5B"/>
    <w:rsid w:val="6245446B"/>
    <w:rsid w:val="624A0885"/>
    <w:rsid w:val="625D2125"/>
    <w:rsid w:val="628162B8"/>
    <w:rsid w:val="63553862"/>
    <w:rsid w:val="639D5171"/>
    <w:rsid w:val="63A4729C"/>
    <w:rsid w:val="63D731CD"/>
    <w:rsid w:val="6480288A"/>
    <w:rsid w:val="64AF58B6"/>
    <w:rsid w:val="659822DE"/>
    <w:rsid w:val="65C37EAD"/>
    <w:rsid w:val="65CA28E7"/>
    <w:rsid w:val="65CB6D62"/>
    <w:rsid w:val="65D57D2E"/>
    <w:rsid w:val="66165DBD"/>
    <w:rsid w:val="66751E94"/>
    <w:rsid w:val="66C70B33"/>
    <w:rsid w:val="66D83EAD"/>
    <w:rsid w:val="674C3ED2"/>
    <w:rsid w:val="6780592A"/>
    <w:rsid w:val="679A58D2"/>
    <w:rsid w:val="67B13D35"/>
    <w:rsid w:val="683A5AB8"/>
    <w:rsid w:val="69185C3F"/>
    <w:rsid w:val="69FC398E"/>
    <w:rsid w:val="6A681638"/>
    <w:rsid w:val="6A8E581F"/>
    <w:rsid w:val="6AA47136"/>
    <w:rsid w:val="6ABC136F"/>
    <w:rsid w:val="6B3B2294"/>
    <w:rsid w:val="6B416F0B"/>
    <w:rsid w:val="6B5C045C"/>
    <w:rsid w:val="6B5F439E"/>
    <w:rsid w:val="6B7632CC"/>
    <w:rsid w:val="6B777044"/>
    <w:rsid w:val="6B7C2689"/>
    <w:rsid w:val="6B805EB5"/>
    <w:rsid w:val="6BB817B7"/>
    <w:rsid w:val="6BBB57BE"/>
    <w:rsid w:val="6BDC75E6"/>
    <w:rsid w:val="6C65658F"/>
    <w:rsid w:val="6C9C7B87"/>
    <w:rsid w:val="6CD72490"/>
    <w:rsid w:val="6D0B213A"/>
    <w:rsid w:val="6D445F36"/>
    <w:rsid w:val="6D475150"/>
    <w:rsid w:val="6D7176F3"/>
    <w:rsid w:val="6D817984"/>
    <w:rsid w:val="6D9C4293"/>
    <w:rsid w:val="6E1A6AD8"/>
    <w:rsid w:val="6E1D1B60"/>
    <w:rsid w:val="6E3F01FA"/>
    <w:rsid w:val="6E5F273D"/>
    <w:rsid w:val="6EEA080E"/>
    <w:rsid w:val="6F190B3E"/>
    <w:rsid w:val="6FAC19B2"/>
    <w:rsid w:val="6FBD6166"/>
    <w:rsid w:val="6FBE38E2"/>
    <w:rsid w:val="70365D9A"/>
    <w:rsid w:val="70745D00"/>
    <w:rsid w:val="70994B19"/>
    <w:rsid w:val="70E32BB2"/>
    <w:rsid w:val="71025602"/>
    <w:rsid w:val="713D040C"/>
    <w:rsid w:val="719C6C88"/>
    <w:rsid w:val="71AF12E6"/>
    <w:rsid w:val="71EB2824"/>
    <w:rsid w:val="721A2C2C"/>
    <w:rsid w:val="727E68D3"/>
    <w:rsid w:val="72842772"/>
    <w:rsid w:val="72C62D8B"/>
    <w:rsid w:val="72D67D59"/>
    <w:rsid w:val="73027B3B"/>
    <w:rsid w:val="7343262D"/>
    <w:rsid w:val="737722D7"/>
    <w:rsid w:val="74331298"/>
    <w:rsid w:val="747576C2"/>
    <w:rsid w:val="747961AF"/>
    <w:rsid w:val="74EF5F18"/>
    <w:rsid w:val="75123E4D"/>
    <w:rsid w:val="75724A97"/>
    <w:rsid w:val="75E654F2"/>
    <w:rsid w:val="769247A1"/>
    <w:rsid w:val="76E11675"/>
    <w:rsid w:val="77004391"/>
    <w:rsid w:val="770E011E"/>
    <w:rsid w:val="77977B4C"/>
    <w:rsid w:val="77BC29AE"/>
    <w:rsid w:val="78746922"/>
    <w:rsid w:val="78BD078C"/>
    <w:rsid w:val="794A23FF"/>
    <w:rsid w:val="799F40E0"/>
    <w:rsid w:val="79B7747C"/>
    <w:rsid w:val="79D7587D"/>
    <w:rsid w:val="7A2111EE"/>
    <w:rsid w:val="7A62698C"/>
    <w:rsid w:val="7B3F165E"/>
    <w:rsid w:val="7B51340D"/>
    <w:rsid w:val="7B5200D5"/>
    <w:rsid w:val="7BA76C6C"/>
    <w:rsid w:val="7BC1128E"/>
    <w:rsid w:val="7BD95887"/>
    <w:rsid w:val="7C3C40BE"/>
    <w:rsid w:val="7D4A7156"/>
    <w:rsid w:val="7D55263A"/>
    <w:rsid w:val="7D5A750E"/>
    <w:rsid w:val="7E083EFE"/>
    <w:rsid w:val="7E4342BC"/>
    <w:rsid w:val="7E4F6BCE"/>
    <w:rsid w:val="7E977259"/>
    <w:rsid w:val="7EEB72DE"/>
    <w:rsid w:val="7F192E0E"/>
    <w:rsid w:val="7F2F7F0A"/>
    <w:rsid w:val="7FA26CDE"/>
    <w:rsid w:val="7FAF4BA7"/>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unhideWhenUsed="0" w:uiPriority="0" w:semiHidden="0" w:name="toc 4"/>
    <w:lsdException w:qFormat="1" w:unhideWhenUsed="0" w:uiPriority="39"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3"/>
    <w:autoRedefine/>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4"/>
    <w:autoRedefine/>
    <w:qFormat/>
    <w:uiPriority w:val="0"/>
    <w:pPr>
      <w:keepNext/>
      <w:keepLines/>
      <w:spacing w:before="260" w:after="260" w:line="416" w:lineRule="auto"/>
      <w:outlineLvl w:val="1"/>
    </w:pPr>
    <w:rPr>
      <w:rFonts w:ascii="Cambria" w:hAnsi="Cambria"/>
      <w:b/>
      <w:bCs/>
      <w:sz w:val="32"/>
      <w:szCs w:val="32"/>
    </w:rPr>
  </w:style>
  <w:style w:type="paragraph" w:styleId="8">
    <w:name w:val="heading 3"/>
    <w:basedOn w:val="1"/>
    <w:next w:val="1"/>
    <w:link w:val="45"/>
    <w:autoRedefine/>
    <w:qFormat/>
    <w:uiPriority w:val="0"/>
    <w:pPr>
      <w:keepNext/>
      <w:keepLines/>
      <w:spacing w:before="260" w:after="260" w:line="413" w:lineRule="auto"/>
      <w:outlineLvl w:val="2"/>
    </w:pPr>
    <w:rPr>
      <w:b/>
      <w:bCs/>
      <w:sz w:val="32"/>
      <w:szCs w:val="32"/>
    </w:rPr>
  </w:style>
  <w:style w:type="paragraph" w:styleId="9">
    <w:name w:val="heading 4"/>
    <w:basedOn w:val="1"/>
    <w:next w:val="1"/>
    <w:link w:val="46"/>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9">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left="420" w:firstLine="420" w:firstLineChars="200"/>
    </w:pPr>
  </w:style>
  <w:style w:type="paragraph" w:styleId="3">
    <w:name w:val="Body Text Indent"/>
    <w:basedOn w:val="1"/>
    <w:next w:val="4"/>
    <w:qFormat/>
    <w:uiPriority w:val="0"/>
    <w:pPr>
      <w:spacing w:after="120"/>
      <w:ind w:left="200" w:leftChars="200"/>
    </w:pPr>
  </w:style>
  <w:style w:type="paragraph" w:styleId="4">
    <w:name w:val="envelope return"/>
    <w:basedOn w:val="1"/>
    <w:next w:val="5"/>
    <w:unhideWhenUsed/>
    <w:qFormat/>
    <w:uiPriority w:val="99"/>
    <w:pPr>
      <w:snapToGrid w:val="0"/>
    </w:pPr>
    <w:rPr>
      <w:rFonts w:ascii="Arial" w:hAnsi="Arial"/>
    </w:rPr>
  </w:style>
  <w:style w:type="paragraph" w:styleId="5">
    <w:name w:val="toc 7"/>
    <w:basedOn w:val="1"/>
    <w:next w:val="1"/>
    <w:unhideWhenUsed/>
    <w:qFormat/>
    <w:uiPriority w:val="39"/>
    <w:pPr>
      <w:spacing w:after="57"/>
      <w:ind w:left="1701" w:right="0" w:firstLine="0"/>
    </w:pPr>
  </w:style>
  <w:style w:type="paragraph" w:styleId="10">
    <w:name w:val="Normal Indent"/>
    <w:basedOn w:val="1"/>
    <w:qFormat/>
    <w:uiPriority w:val="0"/>
    <w:pPr>
      <w:adjustRightInd w:val="0"/>
      <w:spacing w:line="360" w:lineRule="atLeast"/>
      <w:ind w:firstLine="482"/>
      <w:textAlignment w:val="baseline"/>
    </w:pPr>
    <w:rPr>
      <w:kern w:val="0"/>
      <w:sz w:val="24"/>
      <w:szCs w:val="20"/>
    </w:rPr>
  </w:style>
  <w:style w:type="paragraph" w:styleId="11">
    <w:name w:val="Document Map"/>
    <w:basedOn w:val="1"/>
    <w:link w:val="47"/>
    <w:autoRedefine/>
    <w:semiHidden/>
    <w:qFormat/>
    <w:uiPriority w:val="0"/>
    <w:pPr>
      <w:shd w:val="clear" w:color="auto" w:fill="000080"/>
    </w:pPr>
  </w:style>
  <w:style w:type="paragraph" w:styleId="12">
    <w:name w:val="Body Text 3"/>
    <w:basedOn w:val="1"/>
    <w:autoRedefine/>
    <w:qFormat/>
    <w:uiPriority w:val="0"/>
    <w:rPr>
      <w:rFonts w:ascii="宋体"/>
      <w:sz w:val="24"/>
      <w:szCs w:val="20"/>
    </w:rPr>
  </w:style>
  <w:style w:type="paragraph" w:styleId="13">
    <w:name w:val="Body Text"/>
    <w:basedOn w:val="1"/>
    <w:link w:val="42"/>
    <w:autoRedefine/>
    <w:qFormat/>
    <w:uiPriority w:val="0"/>
    <w:pPr>
      <w:spacing w:after="120"/>
    </w:pPr>
    <w:rPr>
      <w:szCs w:val="20"/>
    </w:rPr>
  </w:style>
  <w:style w:type="paragraph" w:styleId="14">
    <w:name w:val="toc 5"/>
    <w:basedOn w:val="1"/>
    <w:next w:val="1"/>
    <w:autoRedefine/>
    <w:qFormat/>
    <w:uiPriority w:val="39"/>
    <w:pPr>
      <w:ind w:left="840"/>
      <w:jc w:val="left"/>
    </w:pPr>
    <w:rPr>
      <w:sz w:val="18"/>
      <w:szCs w:val="18"/>
    </w:rPr>
  </w:style>
  <w:style w:type="paragraph" w:styleId="15">
    <w:name w:val="toc 3"/>
    <w:basedOn w:val="1"/>
    <w:next w:val="1"/>
    <w:autoRedefine/>
    <w:semiHidden/>
    <w:qFormat/>
    <w:uiPriority w:val="0"/>
    <w:pPr>
      <w:ind w:left="840" w:leftChars="400"/>
    </w:pPr>
  </w:style>
  <w:style w:type="paragraph" w:styleId="16">
    <w:name w:val="Date"/>
    <w:basedOn w:val="1"/>
    <w:next w:val="1"/>
    <w:link w:val="48"/>
    <w:autoRedefine/>
    <w:qFormat/>
    <w:uiPriority w:val="0"/>
    <w:rPr>
      <w:sz w:val="24"/>
      <w:szCs w:val="20"/>
    </w:rPr>
  </w:style>
  <w:style w:type="paragraph" w:styleId="17">
    <w:name w:val="Body Text Indent 2"/>
    <w:basedOn w:val="1"/>
    <w:link w:val="49"/>
    <w:autoRedefine/>
    <w:qFormat/>
    <w:uiPriority w:val="0"/>
    <w:pPr>
      <w:spacing w:after="120" w:line="480" w:lineRule="auto"/>
      <w:ind w:left="420" w:leftChars="200"/>
    </w:pPr>
  </w:style>
  <w:style w:type="paragraph" w:styleId="18">
    <w:name w:val="Balloon Text"/>
    <w:basedOn w:val="1"/>
    <w:link w:val="64"/>
    <w:autoRedefine/>
    <w:qFormat/>
    <w:uiPriority w:val="0"/>
    <w:rPr>
      <w:sz w:val="18"/>
      <w:szCs w:val="18"/>
    </w:rPr>
  </w:style>
  <w:style w:type="paragraph" w:styleId="19">
    <w:name w:val="footer"/>
    <w:basedOn w:val="1"/>
    <w:link w:val="50"/>
    <w:autoRedefine/>
    <w:qFormat/>
    <w:uiPriority w:val="99"/>
    <w:pPr>
      <w:tabs>
        <w:tab w:val="center" w:pos="4153"/>
        <w:tab w:val="right" w:pos="8306"/>
      </w:tabs>
      <w:snapToGrid w:val="0"/>
      <w:jc w:val="left"/>
    </w:pPr>
    <w:rPr>
      <w:sz w:val="18"/>
      <w:szCs w:val="18"/>
    </w:rPr>
  </w:style>
  <w:style w:type="paragraph" w:styleId="20">
    <w:name w:val="header"/>
    <w:basedOn w:val="1"/>
    <w:link w:val="5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0"/>
    <w:pPr>
      <w:spacing w:before="120" w:after="120"/>
      <w:jc w:val="left"/>
    </w:pPr>
    <w:rPr>
      <w:b/>
      <w:bCs/>
      <w:caps/>
      <w:sz w:val="20"/>
      <w:szCs w:val="20"/>
    </w:rPr>
  </w:style>
  <w:style w:type="paragraph" w:styleId="22">
    <w:name w:val="Subtitle"/>
    <w:basedOn w:val="1"/>
    <w:next w:val="1"/>
    <w:link w:val="54"/>
    <w:autoRedefine/>
    <w:qFormat/>
    <w:uiPriority w:val="0"/>
    <w:pPr>
      <w:widowControl/>
      <w:spacing w:before="240" w:after="60" w:line="312" w:lineRule="auto"/>
      <w:jc w:val="center"/>
      <w:outlineLvl w:val="1"/>
    </w:pPr>
  </w:style>
  <w:style w:type="paragraph" w:styleId="23">
    <w:name w:val="toc 2"/>
    <w:basedOn w:val="1"/>
    <w:next w:val="1"/>
    <w:autoRedefine/>
    <w:qFormat/>
    <w:uiPriority w:val="0"/>
    <w:pPr>
      <w:ind w:left="210"/>
      <w:jc w:val="left"/>
    </w:pPr>
    <w:rPr>
      <w:smallCaps/>
      <w:sz w:val="20"/>
      <w:szCs w:val="20"/>
    </w:rPr>
  </w:style>
  <w:style w:type="paragraph" w:styleId="24">
    <w:name w:val="Normal (Web)"/>
    <w:basedOn w:val="1"/>
    <w:next w:val="25"/>
    <w:autoRedefine/>
    <w:qFormat/>
    <w:uiPriority w:val="0"/>
    <w:pPr>
      <w:widowControl/>
      <w:spacing w:before="100" w:beforeAutospacing="1" w:after="100" w:afterAutospacing="1" w:line="500" w:lineRule="atLeast"/>
      <w:jc w:val="left"/>
    </w:pPr>
    <w:rPr>
      <w:rFonts w:ascii="宋体" w:hAnsi="宋体" w:cs="宋体"/>
      <w:kern w:val="0"/>
      <w:sz w:val="22"/>
      <w:szCs w:val="22"/>
    </w:rPr>
  </w:style>
  <w:style w:type="paragraph" w:customStyle="1" w:styleId="25">
    <w:name w:val="正文文字 8"/>
    <w:basedOn w:val="1"/>
    <w:next w:val="1"/>
    <w:autoRedefine/>
    <w:qFormat/>
    <w:uiPriority w:val="0"/>
    <w:pPr>
      <w:ind w:left="240"/>
    </w:pPr>
    <w:rPr>
      <w:sz w:val="16"/>
    </w:rPr>
  </w:style>
  <w:style w:type="paragraph" w:styleId="26">
    <w:name w:val="Title"/>
    <w:basedOn w:val="1"/>
    <w:next w:val="1"/>
    <w:link w:val="53"/>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7">
    <w:name w:val="Body Text First Indent"/>
    <w:basedOn w:val="13"/>
    <w:autoRedefine/>
    <w:qFormat/>
    <w:uiPriority w:val="99"/>
    <w:pPr>
      <w:widowControl/>
      <w:spacing w:line="357" w:lineRule="atLeast"/>
      <w:ind w:firstLine="420" w:firstLineChars="100"/>
      <w:textAlignment w:val="baseline"/>
    </w:pPr>
    <w:rPr>
      <w:color w:val="000000"/>
      <w:kern w:val="0"/>
      <w:szCs w:val="21"/>
    </w:rPr>
  </w:style>
  <w:style w:type="character" w:styleId="30">
    <w:name w:val="Strong"/>
    <w:autoRedefine/>
    <w:qFormat/>
    <w:uiPriority w:val="0"/>
    <w:rPr>
      <w:b/>
    </w:rPr>
  </w:style>
  <w:style w:type="character" w:styleId="31">
    <w:name w:val="page number"/>
    <w:basedOn w:val="29"/>
    <w:autoRedefine/>
    <w:qFormat/>
    <w:uiPriority w:val="0"/>
  </w:style>
  <w:style w:type="character" w:styleId="32">
    <w:name w:val="FollowedHyperlink"/>
    <w:basedOn w:val="29"/>
    <w:autoRedefine/>
    <w:unhideWhenUsed/>
    <w:qFormat/>
    <w:uiPriority w:val="99"/>
    <w:rPr>
      <w:color w:val="800080"/>
      <w:u w:val="none"/>
    </w:rPr>
  </w:style>
  <w:style w:type="character" w:styleId="33">
    <w:name w:val="HTML Definition"/>
    <w:basedOn w:val="29"/>
    <w:autoRedefine/>
    <w:qFormat/>
    <w:uiPriority w:val="0"/>
  </w:style>
  <w:style w:type="character" w:styleId="34">
    <w:name w:val="HTML Typewriter"/>
    <w:basedOn w:val="29"/>
    <w:autoRedefine/>
    <w:qFormat/>
    <w:uiPriority w:val="0"/>
    <w:rPr>
      <w:rFonts w:ascii="monospace" w:hAnsi="monospace" w:eastAsia="monospace" w:cs="monospace"/>
      <w:sz w:val="20"/>
    </w:rPr>
  </w:style>
  <w:style w:type="character" w:styleId="35">
    <w:name w:val="HTML Acronym"/>
    <w:basedOn w:val="29"/>
    <w:autoRedefine/>
    <w:qFormat/>
    <w:uiPriority w:val="0"/>
  </w:style>
  <w:style w:type="character" w:styleId="36">
    <w:name w:val="HTML Variable"/>
    <w:basedOn w:val="29"/>
    <w:autoRedefine/>
    <w:qFormat/>
    <w:uiPriority w:val="0"/>
  </w:style>
  <w:style w:type="character" w:styleId="37">
    <w:name w:val="Hyperlink"/>
    <w:basedOn w:val="29"/>
    <w:autoRedefine/>
    <w:qFormat/>
    <w:uiPriority w:val="0"/>
    <w:rPr>
      <w:color w:val="0000FF"/>
      <w:u w:val="none"/>
    </w:rPr>
  </w:style>
  <w:style w:type="character" w:styleId="38">
    <w:name w:val="HTML Code"/>
    <w:basedOn w:val="29"/>
    <w:autoRedefine/>
    <w:qFormat/>
    <w:uiPriority w:val="0"/>
    <w:rPr>
      <w:rFonts w:hint="default" w:ascii="monospace" w:hAnsi="monospace" w:eastAsia="monospace" w:cs="monospace"/>
      <w:sz w:val="20"/>
    </w:rPr>
  </w:style>
  <w:style w:type="character" w:styleId="39">
    <w:name w:val="HTML Cite"/>
    <w:basedOn w:val="29"/>
    <w:autoRedefine/>
    <w:qFormat/>
    <w:uiPriority w:val="0"/>
  </w:style>
  <w:style w:type="character" w:styleId="40">
    <w:name w:val="HTML Keyboard"/>
    <w:basedOn w:val="29"/>
    <w:autoRedefine/>
    <w:qFormat/>
    <w:uiPriority w:val="0"/>
    <w:rPr>
      <w:rFonts w:hint="default" w:ascii="monospace" w:hAnsi="monospace" w:eastAsia="monospace" w:cs="monospace"/>
      <w:sz w:val="20"/>
    </w:rPr>
  </w:style>
  <w:style w:type="character" w:styleId="41">
    <w:name w:val="HTML Sample"/>
    <w:basedOn w:val="29"/>
    <w:autoRedefine/>
    <w:qFormat/>
    <w:uiPriority w:val="0"/>
    <w:rPr>
      <w:rFonts w:hint="default" w:ascii="monospace" w:hAnsi="monospace" w:eastAsia="monospace" w:cs="monospace"/>
    </w:rPr>
  </w:style>
  <w:style w:type="character" w:customStyle="1" w:styleId="42">
    <w:name w:val="正文文本 Char"/>
    <w:basedOn w:val="29"/>
    <w:link w:val="13"/>
    <w:autoRedefine/>
    <w:qFormat/>
    <w:uiPriority w:val="0"/>
    <w:rPr>
      <w:kern w:val="2"/>
      <w:sz w:val="21"/>
    </w:rPr>
  </w:style>
  <w:style w:type="character" w:customStyle="1" w:styleId="43">
    <w:name w:val="标题 1 Char"/>
    <w:basedOn w:val="29"/>
    <w:link w:val="6"/>
    <w:autoRedefine/>
    <w:qFormat/>
    <w:uiPriority w:val="0"/>
    <w:rPr>
      <w:b/>
      <w:bCs/>
      <w:kern w:val="44"/>
      <w:sz w:val="44"/>
      <w:szCs w:val="44"/>
    </w:rPr>
  </w:style>
  <w:style w:type="character" w:customStyle="1" w:styleId="44">
    <w:name w:val="标题 2 Char"/>
    <w:basedOn w:val="29"/>
    <w:link w:val="7"/>
    <w:autoRedefine/>
    <w:semiHidden/>
    <w:qFormat/>
    <w:uiPriority w:val="0"/>
    <w:rPr>
      <w:rFonts w:ascii="Cambria" w:hAnsi="Cambria" w:eastAsia="宋体" w:cs="Times New Roman"/>
      <w:b/>
      <w:bCs/>
      <w:kern w:val="2"/>
      <w:sz w:val="32"/>
      <w:szCs w:val="32"/>
    </w:rPr>
  </w:style>
  <w:style w:type="character" w:customStyle="1" w:styleId="45">
    <w:name w:val="标题 3 Char"/>
    <w:basedOn w:val="29"/>
    <w:link w:val="8"/>
    <w:autoRedefine/>
    <w:qFormat/>
    <w:uiPriority w:val="0"/>
    <w:rPr>
      <w:b/>
      <w:bCs/>
      <w:kern w:val="2"/>
      <w:sz w:val="32"/>
      <w:szCs w:val="32"/>
    </w:rPr>
  </w:style>
  <w:style w:type="character" w:customStyle="1" w:styleId="46">
    <w:name w:val="标题 4 Char"/>
    <w:basedOn w:val="29"/>
    <w:link w:val="9"/>
    <w:autoRedefine/>
    <w:qFormat/>
    <w:uiPriority w:val="0"/>
    <w:rPr>
      <w:rFonts w:ascii="Arial" w:hAnsi="Arial" w:eastAsia="黑体"/>
      <w:b/>
      <w:bCs/>
      <w:kern w:val="2"/>
      <w:sz w:val="28"/>
      <w:szCs w:val="28"/>
    </w:rPr>
  </w:style>
  <w:style w:type="character" w:customStyle="1" w:styleId="47">
    <w:name w:val="文档结构图 Char"/>
    <w:basedOn w:val="29"/>
    <w:link w:val="11"/>
    <w:autoRedefine/>
    <w:semiHidden/>
    <w:qFormat/>
    <w:uiPriority w:val="0"/>
    <w:rPr>
      <w:kern w:val="2"/>
      <w:sz w:val="21"/>
      <w:szCs w:val="24"/>
      <w:shd w:val="clear" w:color="auto" w:fill="000080"/>
    </w:rPr>
  </w:style>
  <w:style w:type="character" w:customStyle="1" w:styleId="48">
    <w:name w:val="日期 Char"/>
    <w:basedOn w:val="29"/>
    <w:link w:val="16"/>
    <w:autoRedefine/>
    <w:qFormat/>
    <w:uiPriority w:val="0"/>
    <w:rPr>
      <w:kern w:val="2"/>
      <w:sz w:val="24"/>
    </w:rPr>
  </w:style>
  <w:style w:type="character" w:customStyle="1" w:styleId="49">
    <w:name w:val="正文文本缩进 2 Char"/>
    <w:basedOn w:val="29"/>
    <w:link w:val="17"/>
    <w:autoRedefine/>
    <w:qFormat/>
    <w:uiPriority w:val="0"/>
    <w:rPr>
      <w:kern w:val="2"/>
      <w:sz w:val="21"/>
      <w:szCs w:val="24"/>
    </w:rPr>
  </w:style>
  <w:style w:type="character" w:customStyle="1" w:styleId="50">
    <w:name w:val="页脚 Char"/>
    <w:basedOn w:val="29"/>
    <w:link w:val="19"/>
    <w:autoRedefine/>
    <w:qFormat/>
    <w:uiPriority w:val="99"/>
    <w:rPr>
      <w:kern w:val="2"/>
      <w:sz w:val="18"/>
      <w:szCs w:val="18"/>
    </w:rPr>
  </w:style>
  <w:style w:type="character" w:customStyle="1" w:styleId="51">
    <w:name w:val="页眉 Char"/>
    <w:basedOn w:val="29"/>
    <w:link w:val="20"/>
    <w:autoRedefine/>
    <w:qFormat/>
    <w:uiPriority w:val="0"/>
    <w:rPr>
      <w:kern w:val="2"/>
      <w:sz w:val="18"/>
      <w:szCs w:val="18"/>
    </w:rPr>
  </w:style>
  <w:style w:type="character" w:customStyle="1" w:styleId="52">
    <w:name w:val="副标题 Char"/>
    <w:autoRedefine/>
    <w:qFormat/>
    <w:uiPriority w:val="0"/>
    <w:rPr>
      <w:kern w:val="2"/>
      <w:sz w:val="21"/>
      <w:szCs w:val="24"/>
    </w:rPr>
  </w:style>
  <w:style w:type="character" w:customStyle="1" w:styleId="53">
    <w:name w:val="标题 Char"/>
    <w:basedOn w:val="29"/>
    <w:link w:val="26"/>
    <w:autoRedefine/>
    <w:qFormat/>
    <w:uiPriority w:val="0"/>
    <w:rPr>
      <w:rFonts w:ascii="Arial" w:hAnsi="Arial"/>
      <w:b/>
      <w:sz w:val="32"/>
    </w:rPr>
  </w:style>
  <w:style w:type="character" w:customStyle="1" w:styleId="54">
    <w:name w:val="副标题 Char1"/>
    <w:basedOn w:val="29"/>
    <w:link w:val="22"/>
    <w:autoRedefine/>
    <w:qFormat/>
    <w:uiPriority w:val="0"/>
    <w:rPr>
      <w:rFonts w:ascii="Cambria" w:hAnsi="Cambria" w:cs="Times New Roman"/>
      <w:b/>
      <w:bCs/>
      <w:kern w:val="28"/>
      <w:sz w:val="32"/>
      <w:szCs w:val="32"/>
    </w:rPr>
  </w:style>
  <w:style w:type="paragraph" w:customStyle="1" w:styleId="55">
    <w:name w:val="默认段落字体 Para Char Char Char Char"/>
    <w:basedOn w:val="1"/>
    <w:autoRedefine/>
    <w:qFormat/>
    <w:uiPriority w:val="0"/>
    <w:rPr>
      <w:szCs w:val="21"/>
    </w:rPr>
  </w:style>
  <w:style w:type="paragraph" w:customStyle="1" w:styleId="56">
    <w:name w:val="Char Char Char Char Char Char Char Char Char Char"/>
    <w:basedOn w:val="1"/>
    <w:autoRedefine/>
    <w:qFormat/>
    <w:uiPriority w:val="0"/>
  </w:style>
  <w:style w:type="character" w:customStyle="1" w:styleId="57">
    <w:name w:val="Char Char1"/>
    <w:autoRedefine/>
    <w:qFormat/>
    <w:uiPriority w:val="0"/>
    <w:rPr>
      <w:rFonts w:eastAsia="宋体"/>
      <w:kern w:val="2"/>
      <w:sz w:val="21"/>
      <w:szCs w:val="24"/>
      <w:lang w:val="en-US" w:eastAsia="zh-CN" w:bidi="ar-SA"/>
    </w:rPr>
  </w:style>
  <w:style w:type="paragraph" w:customStyle="1" w:styleId="58">
    <w:name w:val="p0"/>
    <w:basedOn w:val="1"/>
    <w:autoRedefine/>
    <w:qFormat/>
    <w:uiPriority w:val="0"/>
    <w:pPr>
      <w:widowControl/>
    </w:pPr>
    <w:rPr>
      <w:kern w:val="0"/>
      <w:szCs w:val="21"/>
    </w:rPr>
  </w:style>
  <w:style w:type="character" w:customStyle="1" w:styleId="59">
    <w:name w:val="15"/>
    <w:basedOn w:val="29"/>
    <w:autoRedefine/>
    <w:qFormat/>
    <w:uiPriority w:val="0"/>
  </w:style>
  <w:style w:type="paragraph" w:customStyle="1" w:styleId="60">
    <w:name w:val="节标题"/>
    <w:basedOn w:val="1"/>
    <w:next w:val="1"/>
    <w:autoRedefine/>
    <w:qFormat/>
    <w:uiPriority w:val="0"/>
    <w:pPr>
      <w:widowControl/>
      <w:spacing w:line="289" w:lineRule="atLeast"/>
      <w:jc w:val="center"/>
      <w:textAlignment w:val="baseline"/>
    </w:pPr>
    <w:rPr>
      <w:rFonts w:ascii="Calibri" w:hAnsi="Calibri"/>
      <w:color w:val="000000"/>
      <w:kern w:val="0"/>
      <w:sz w:val="28"/>
      <w:szCs w:val="20"/>
      <w:u w:color="000000"/>
    </w:rPr>
  </w:style>
  <w:style w:type="character" w:customStyle="1" w:styleId="61">
    <w:name w:val="layui-this"/>
    <w:basedOn w:val="29"/>
    <w:autoRedefine/>
    <w:qFormat/>
    <w:uiPriority w:val="0"/>
    <w:rPr>
      <w:bdr w:val="single" w:color="EEEEEE" w:sz="6" w:space="0"/>
      <w:shd w:val="clear" w:color="auto" w:fill="FFFFFF"/>
    </w:rPr>
  </w:style>
  <w:style w:type="character" w:customStyle="1" w:styleId="62">
    <w:name w:val="first-child"/>
    <w:basedOn w:val="29"/>
    <w:autoRedefine/>
    <w:qFormat/>
    <w:uiPriority w:val="0"/>
  </w:style>
  <w:style w:type="paragraph" w:customStyle="1" w:styleId="63">
    <w:name w:val="Char Char Char Char Char Char Char Char Char Char Char Char Char"/>
    <w:basedOn w:val="11"/>
    <w:autoRedefine/>
    <w:qFormat/>
    <w:uiPriority w:val="0"/>
    <w:rPr>
      <w:rFonts w:ascii="Tahoma" w:hAnsi="Tahoma"/>
      <w:sz w:val="24"/>
    </w:rPr>
  </w:style>
  <w:style w:type="character" w:customStyle="1" w:styleId="64">
    <w:name w:val="批注框文本 Char"/>
    <w:basedOn w:val="29"/>
    <w:link w:val="18"/>
    <w:autoRedefine/>
    <w:qFormat/>
    <w:uiPriority w:val="0"/>
    <w:rPr>
      <w:kern w:val="2"/>
      <w:sz w:val="18"/>
      <w:szCs w:val="18"/>
    </w:rPr>
  </w:style>
  <w:style w:type="paragraph" w:customStyle="1" w:styleId="65">
    <w:name w:val="首行缩进"/>
    <w:basedOn w:val="1"/>
    <w:autoRedefine/>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36</Pages>
  <Words>15008</Words>
  <Characters>5310</Characters>
  <Lines>44</Lines>
  <Paragraphs>40</Paragraphs>
  <TotalTime>4</TotalTime>
  <ScaleCrop>false</ScaleCrop>
  <LinksUpToDate>false</LinksUpToDate>
  <CharactersWithSpaces>20278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2017-10-23T01:17:00Z</dcterms:created>
  <dc:creator>雨林木风</dc:creator>
  <cp:lastModifiedBy>四叶草</cp:lastModifiedBy>
  <cp:lastPrinted>2024-03-21T05:43:00Z</cp:lastPrinted>
  <dcterms:modified xsi:type="dcterms:W3CDTF">2024-03-25T07:32:07Z</dcterms:modified>
  <dc:title>雷官镇、独山乡水文物探工程招标公告（代招标文件）</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762180CB1C1C4C519C1E182404D42096_13</vt:lpwstr>
  </property>
</Properties>
</file>