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6027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bookmarkStart w:id="93" w:name="_GoBack"/>
      <w:bookmarkEnd w:id="93"/>
    </w:p>
    <w:p w14:paraId="5E4BBF6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12EFA1F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4982E60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服务类</w:t>
      </w:r>
      <w:r>
        <w:rPr>
          <w:rFonts w:hint="eastAsia" w:ascii="宋体" w:hAnsi="宋体" w:eastAsia="宋体"/>
          <w:b/>
          <w:bCs/>
          <w:color w:val="auto"/>
          <w:sz w:val="52"/>
          <w:szCs w:val="52"/>
          <w:highlight w:val="none"/>
          <w:lang w:eastAsia="zh-CN"/>
        </w:rPr>
        <w:t>）</w:t>
      </w:r>
    </w:p>
    <w:p w14:paraId="7D48FC2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05A5585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参照</w:t>
      </w:r>
      <w:r>
        <w:rPr>
          <w:rFonts w:hint="eastAsia" w:ascii="宋体" w:hAnsi="宋体" w:eastAsia="宋体"/>
          <w:b/>
          <w:bCs/>
          <w:color w:val="auto"/>
          <w:sz w:val="52"/>
          <w:szCs w:val="52"/>
          <w:highlight w:val="none"/>
          <w:lang w:eastAsia="zh-CN"/>
        </w:rPr>
        <w:t>）</w:t>
      </w:r>
    </w:p>
    <w:p w14:paraId="76F94D91">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4ECBA7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FDAC77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461267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D66F9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562358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296A0B6">
      <w:pPr>
        <w:tabs>
          <w:tab w:val="left" w:pos="2410"/>
        </w:tabs>
        <w:autoSpaceDE w:val="0"/>
        <w:autoSpaceDN w:val="0"/>
        <w:adjustRightInd w:val="0"/>
        <w:snapToGrid w:val="0"/>
        <w:spacing w:line="360" w:lineRule="auto"/>
        <w:ind w:left="-404" w:leftChars="-200" w:right="-512" w:rightChars="-244" w:hanging="16" w:hangingChars="5"/>
        <w:jc w:val="center"/>
        <w:rPr>
          <w:rFonts w:hint="default" w:ascii="宋体" w:hAnsi="宋体" w:eastAsia="宋体"/>
          <w:b/>
          <w:color w:val="auto"/>
          <w:spacing w:val="0"/>
          <w:kern w:val="0"/>
          <w:sz w:val="32"/>
          <w:szCs w:val="32"/>
          <w:highlight w:val="none"/>
          <w:lang w:val="en-US" w:eastAsia="zh-CN"/>
        </w:rPr>
      </w:pPr>
      <w:r>
        <w:rPr>
          <w:rFonts w:hint="eastAsia" w:ascii="宋体" w:hAnsi="宋体" w:eastAsia="宋体"/>
          <w:b/>
          <w:color w:val="auto"/>
          <w:spacing w:val="0"/>
          <w:w w:val="100"/>
          <w:kern w:val="0"/>
          <w:sz w:val="32"/>
          <w:szCs w:val="32"/>
          <w:highlight w:val="none"/>
        </w:rPr>
        <w:t>项目名称：</w:t>
      </w:r>
      <w:r>
        <w:rPr>
          <w:rFonts w:hint="eastAsia" w:ascii="宋体" w:hAnsi="宋体" w:eastAsia="宋体"/>
          <w:b/>
          <w:color w:val="auto"/>
          <w:spacing w:val="0"/>
          <w:w w:val="100"/>
          <w:kern w:val="0"/>
          <w:sz w:val="32"/>
          <w:szCs w:val="32"/>
          <w:highlight w:val="none"/>
          <w:u w:val="single"/>
          <w:lang w:val="en-US" w:eastAsia="zh-CN"/>
        </w:rPr>
        <w:t>滁州市机电工程学校老校区校医院服务项目</w:t>
      </w:r>
    </w:p>
    <w:p w14:paraId="7688762F">
      <w:pPr>
        <w:tabs>
          <w:tab w:val="left" w:pos="2410"/>
        </w:tabs>
        <w:autoSpaceDE w:val="0"/>
        <w:autoSpaceDN w:val="0"/>
        <w:adjustRightInd w:val="0"/>
        <w:snapToGrid w:val="0"/>
        <w:spacing w:line="360" w:lineRule="auto"/>
        <w:ind w:firstLine="321" w:firstLineChars="100"/>
        <w:rPr>
          <w:rFonts w:hint="default" w:ascii="宋体" w:hAnsi="宋体" w:eastAsia="宋体"/>
          <w:b/>
          <w:color w:val="auto"/>
          <w:spacing w:val="0"/>
          <w:kern w:val="0"/>
          <w:sz w:val="32"/>
          <w:szCs w:val="32"/>
          <w:highlight w:val="none"/>
          <w:lang w:val="en-US"/>
        </w:rPr>
      </w:pPr>
      <w:r>
        <w:rPr>
          <w:rFonts w:hint="eastAsia" w:ascii="宋体" w:hAnsi="宋体" w:eastAsia="宋体"/>
          <w:b/>
          <w:color w:val="auto"/>
          <w:spacing w:val="0"/>
          <w:kern w:val="0"/>
          <w:sz w:val="32"/>
          <w:szCs w:val="32"/>
          <w:highlight w:val="none"/>
        </w:rPr>
        <w:t>采</w:t>
      </w:r>
      <w:r>
        <w:rPr>
          <w:rFonts w:hint="eastAsia" w:ascii="宋体" w:hAnsi="宋体" w:eastAsia="宋体"/>
          <w:b/>
          <w:color w:val="auto"/>
          <w:spacing w:val="0"/>
          <w:kern w:val="0"/>
          <w:sz w:val="32"/>
          <w:szCs w:val="32"/>
          <w:highlight w:val="none"/>
          <w:lang w:val="en-US" w:eastAsia="zh-CN"/>
        </w:rPr>
        <w:t xml:space="preserve"> </w:t>
      </w:r>
      <w:r>
        <w:rPr>
          <w:rFonts w:hint="eastAsia" w:ascii="宋体" w:hAnsi="宋体" w:eastAsia="宋体"/>
          <w:b/>
          <w:color w:val="auto"/>
          <w:spacing w:val="0"/>
          <w:kern w:val="0"/>
          <w:sz w:val="32"/>
          <w:szCs w:val="32"/>
          <w:highlight w:val="none"/>
        </w:rPr>
        <w:t>购</w:t>
      </w:r>
      <w:r>
        <w:rPr>
          <w:rFonts w:hint="eastAsia" w:ascii="宋体" w:hAnsi="宋体" w:eastAsia="宋体"/>
          <w:b/>
          <w:color w:val="auto"/>
          <w:spacing w:val="0"/>
          <w:kern w:val="0"/>
          <w:sz w:val="32"/>
          <w:szCs w:val="32"/>
          <w:highlight w:val="none"/>
          <w:lang w:val="en-US" w:eastAsia="zh-CN"/>
        </w:rPr>
        <w:t xml:space="preserve"> </w:t>
      </w:r>
      <w:r>
        <w:rPr>
          <w:rFonts w:hint="eastAsia" w:ascii="宋体" w:hAnsi="宋体" w:eastAsia="宋体"/>
          <w:b/>
          <w:color w:val="auto"/>
          <w:spacing w:val="0"/>
          <w:kern w:val="0"/>
          <w:sz w:val="32"/>
          <w:szCs w:val="32"/>
          <w:highlight w:val="none"/>
        </w:rPr>
        <w:t>人：</w:t>
      </w:r>
      <w:r>
        <w:rPr>
          <w:rFonts w:hint="eastAsia" w:ascii="宋体" w:hAnsi="宋体" w:eastAsia="宋体"/>
          <w:b/>
          <w:color w:val="auto"/>
          <w:spacing w:val="0"/>
          <w:kern w:val="0"/>
          <w:sz w:val="32"/>
          <w:szCs w:val="32"/>
          <w:highlight w:val="none"/>
          <w:u w:val="single"/>
          <w:lang w:val="en-US" w:eastAsia="zh-CN"/>
        </w:rPr>
        <w:t xml:space="preserve">           滁州市机电工程学校         </w:t>
      </w:r>
    </w:p>
    <w:p w14:paraId="4AC8E603">
      <w:pPr>
        <w:tabs>
          <w:tab w:val="left" w:pos="2410"/>
        </w:tabs>
        <w:autoSpaceDE w:val="0"/>
        <w:autoSpaceDN w:val="0"/>
        <w:adjustRightInd w:val="0"/>
        <w:snapToGrid w:val="0"/>
        <w:spacing w:line="360" w:lineRule="auto"/>
        <w:ind w:firstLine="321" w:firstLineChars="1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0"/>
          <w:kern w:val="0"/>
          <w:sz w:val="32"/>
          <w:szCs w:val="32"/>
          <w:highlight w:val="none"/>
        </w:rPr>
        <w:t>采购代理机构：</w:t>
      </w:r>
      <w:r>
        <w:rPr>
          <w:rFonts w:hint="eastAsia" w:ascii="宋体" w:hAnsi="宋体" w:eastAsia="宋体"/>
          <w:b/>
          <w:color w:val="auto"/>
          <w:spacing w:val="0"/>
          <w:kern w:val="0"/>
          <w:sz w:val="32"/>
          <w:szCs w:val="32"/>
          <w:highlight w:val="none"/>
          <w:u w:val="single"/>
          <w:lang w:val="en-US" w:eastAsia="zh-CN"/>
        </w:rPr>
        <w:t xml:space="preserve">    安徽展荣项目管理有限公司      </w:t>
      </w:r>
    </w:p>
    <w:p w14:paraId="3A98A36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BA6DF5C">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7</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05BC1EC9">
      <w:pPr>
        <w:keepNext w:val="0"/>
        <w:keepLines w:val="0"/>
        <w:pageBreakBefore w:val="0"/>
        <w:tabs>
          <w:tab w:val="left" w:pos="2410"/>
        </w:tabs>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  录</w:t>
      </w:r>
    </w:p>
    <w:p w14:paraId="41683262">
      <w:pPr>
        <w:pStyle w:val="17"/>
        <w:keepNext w:val="0"/>
        <w:keepLines w:val="0"/>
        <w:pageBreakBefore w:val="0"/>
        <w:tabs>
          <w:tab w:val="right" w:leader="dot" w:pos="8306"/>
        </w:tabs>
        <w:kinsoku/>
        <w:wordWrap/>
        <w:overflowPunct/>
        <w:topLinePunct w:val="0"/>
        <w:autoSpaceDE/>
        <w:autoSpaceDN/>
        <w:bidi w:val="0"/>
        <w:adjustRightInd/>
        <w:snapToGrid/>
        <w:spacing w:after="120"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"1-2" \h \z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_Toc22972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_Toc22972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952C3AC">
      <w:pPr>
        <w:pStyle w:val="17"/>
        <w:keepNext w:val="0"/>
        <w:keepLines w:val="0"/>
        <w:pageBreakBefore w:val="0"/>
        <w:tabs>
          <w:tab w:val="right" w:leader="dot" w:pos="8306"/>
        </w:tabs>
        <w:kinsoku/>
        <w:wordWrap/>
        <w:overflowPunct/>
        <w:topLinePunct w:val="0"/>
        <w:autoSpaceDE/>
        <w:autoSpaceDN/>
        <w:bidi w:val="0"/>
        <w:adjustRightInd/>
        <w:snapToGrid/>
        <w:spacing w:after="120"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_Toc22763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_Toc22763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F46C094">
      <w:pPr>
        <w:pStyle w:val="17"/>
        <w:keepNext w:val="0"/>
        <w:keepLines w:val="0"/>
        <w:pageBreakBefore w:val="0"/>
        <w:tabs>
          <w:tab w:val="right" w:leader="dot" w:pos="8306"/>
        </w:tabs>
        <w:kinsoku/>
        <w:wordWrap/>
        <w:overflowPunct/>
        <w:topLinePunct w:val="0"/>
        <w:autoSpaceDE/>
        <w:autoSpaceDN/>
        <w:bidi w:val="0"/>
        <w:adjustRightInd/>
        <w:snapToGrid/>
        <w:spacing w:after="120"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_Toc23609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_Toc23609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9458844">
      <w:pPr>
        <w:pStyle w:val="17"/>
        <w:keepNext w:val="0"/>
        <w:keepLines w:val="0"/>
        <w:pageBreakBefore w:val="0"/>
        <w:tabs>
          <w:tab w:val="right" w:leader="dot" w:pos="8306"/>
        </w:tabs>
        <w:kinsoku/>
        <w:wordWrap/>
        <w:overflowPunct/>
        <w:topLinePunct w:val="0"/>
        <w:autoSpaceDE/>
        <w:autoSpaceDN/>
        <w:bidi w:val="0"/>
        <w:adjustRightInd/>
        <w:snapToGrid/>
        <w:spacing w:after="120"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6</w:t>
      </w:r>
    </w:p>
    <w:p w14:paraId="3AA0E3ED">
      <w:pPr>
        <w:pStyle w:val="17"/>
        <w:keepNext w:val="0"/>
        <w:keepLines w:val="0"/>
        <w:pageBreakBefore w:val="0"/>
        <w:tabs>
          <w:tab w:val="right" w:leader="dot" w:pos="8306"/>
        </w:tabs>
        <w:kinsoku/>
        <w:wordWrap/>
        <w:overflowPunct/>
        <w:topLinePunct w:val="0"/>
        <w:autoSpaceDE/>
        <w:autoSpaceDN/>
        <w:bidi w:val="0"/>
        <w:adjustRightInd/>
        <w:snapToGrid/>
        <w:spacing w:after="120"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_Toc13673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0</w:t>
      </w:r>
    </w:p>
    <w:p w14:paraId="09051B01">
      <w:pPr>
        <w:pStyle w:val="17"/>
        <w:keepNext w:val="0"/>
        <w:keepLines w:val="0"/>
        <w:pageBreakBefore w:val="0"/>
        <w:tabs>
          <w:tab w:val="right" w:leader="dot" w:pos="8306"/>
        </w:tabs>
        <w:kinsoku/>
        <w:wordWrap/>
        <w:overflowPunct/>
        <w:topLinePunct w:val="0"/>
        <w:autoSpaceDE/>
        <w:autoSpaceDN/>
        <w:bidi w:val="0"/>
        <w:adjustRightInd/>
        <w:snapToGrid/>
        <w:spacing w:after="120"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_Toc18781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4</w:t>
      </w:r>
    </w:p>
    <w:p w14:paraId="2B101772">
      <w:pPr>
        <w:pStyle w:val="17"/>
        <w:keepNext w:val="0"/>
        <w:keepLines w:val="0"/>
        <w:pageBreakBefore w:val="0"/>
        <w:tabs>
          <w:tab w:val="right" w:leader="dot" w:pos="8306"/>
        </w:tabs>
        <w:kinsoku/>
        <w:wordWrap/>
        <w:overflowPunct/>
        <w:topLinePunct w:val="0"/>
        <w:autoSpaceDE/>
        <w:autoSpaceDN/>
        <w:bidi w:val="0"/>
        <w:adjustRightInd/>
        <w:snapToGrid/>
        <w:spacing w:after="120"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_Toc28085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章</w:t>
      </w: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7</w:t>
      </w:r>
    </w:p>
    <w:p w14:paraId="4615A4F1">
      <w:pPr>
        <w:keepNext w:val="0"/>
        <w:keepLines w:val="0"/>
        <w:pageBreakBefore w:val="0"/>
        <w:kinsoku/>
        <w:wordWrap/>
        <w:overflowPunct/>
        <w:topLinePunct w:val="0"/>
        <w:autoSpaceDE/>
        <w:autoSpaceDN/>
        <w:bidi w:val="0"/>
        <w:adjustRightInd/>
        <w:snapToGrid/>
        <w:spacing w:after="120" w:line="400" w:lineRule="exact"/>
        <w:textAlignment w:val="auto"/>
        <w:rPr>
          <w:rFonts w:asciiTheme="minorEastAsia" w:hAnsiTheme="minorEastAsia" w:eastAsiaTheme="minorEastAsia"/>
          <w:b/>
          <w:color w:val="auto"/>
          <w:sz w:val="32"/>
          <w:highlight w:val="none"/>
        </w:rPr>
      </w:pPr>
      <w:r>
        <w:rPr>
          <w:rFonts w:hint="eastAsia" w:ascii="宋体" w:hAnsi="宋体" w:eastAsia="宋体" w:cs="宋体"/>
          <w:color w:val="auto"/>
          <w:sz w:val="28"/>
          <w:szCs w:val="28"/>
          <w:highlight w:val="none"/>
        </w:rPr>
        <w:fldChar w:fldCharType="end"/>
      </w:r>
    </w:p>
    <w:p w14:paraId="4944E2B0">
      <w:pPr>
        <w:pStyle w:val="8"/>
        <w:rPr>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BFC4F3E">
      <w:pPr>
        <w:spacing w:line="360" w:lineRule="auto"/>
        <w:jc w:val="center"/>
        <w:outlineLvl w:val="0"/>
        <w:rPr>
          <w:rFonts w:asciiTheme="minorEastAsia" w:hAnsiTheme="minorEastAsia" w:eastAsiaTheme="minorEastAsia"/>
          <w:b/>
          <w:color w:val="auto"/>
          <w:sz w:val="28"/>
          <w:highlight w:val="none"/>
        </w:rPr>
      </w:pPr>
      <w:bookmarkStart w:id="0" w:name="_Toc22972"/>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0"/>
    </w:p>
    <w:p w14:paraId="04C5BAE5">
      <w:pPr>
        <w:keepNext w:val="0"/>
        <w:keepLines w:val="0"/>
        <w:widowControl w:val="0"/>
        <w:suppressLineNumbers w:val="0"/>
        <w:spacing w:before="0" w:beforeAutospacing="0" w:after="0" w:afterAutospacing="0" w:line="360" w:lineRule="auto"/>
        <w:ind w:right="0" w:firstLine="480" w:firstLineChars="200"/>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项目概况</w:t>
      </w:r>
    </w:p>
    <w:p w14:paraId="027DFB86">
      <w:pPr>
        <w:keepNext w:val="0"/>
        <w:keepLines w:val="0"/>
        <w:widowControl w:val="0"/>
        <w:suppressLineNumbers w:val="0"/>
        <w:wordWrap w:val="0"/>
        <w:autoSpaceDE w:val="0"/>
        <w:autoSpaceDN/>
        <w:spacing w:before="0" w:beforeAutospacing="0" w:after="0" w:afterAutospacing="0" w:line="360" w:lineRule="auto"/>
        <w:ind w:right="0" w:firstLine="480" w:firstLineChars="200"/>
        <w:jc w:val="both"/>
        <w:outlineLvl w:val="9"/>
        <w:rPr>
          <w:rFonts w:hint="eastAsia" w:ascii="宋体" w:hAnsi="宋体" w:eastAsia="宋体" w:cs="@仿宋_GB2312"/>
          <w:b/>
          <w:bCs w:val="0"/>
          <w:color w:val="auto"/>
          <w:kern w:val="2"/>
          <w:sz w:val="28"/>
          <w:szCs w:val="28"/>
          <w:highlight w:val="none"/>
        </w:rPr>
      </w:pPr>
      <w:r>
        <w:rPr>
          <w:rFonts w:hint="eastAsia" w:ascii="宋体" w:hAnsi="宋体" w:eastAsia="宋体" w:cs="宋体"/>
          <w:color w:val="auto"/>
          <w:kern w:val="2"/>
          <w:sz w:val="24"/>
          <w:szCs w:val="24"/>
          <w:highlight w:val="none"/>
          <w:u w:val="single"/>
          <w:lang w:val="en-US" w:eastAsia="zh-CN" w:bidi="ar"/>
        </w:rPr>
        <w:t>滁州市机电工程学校老校区校医院服务项目</w:t>
      </w:r>
      <w:r>
        <w:rPr>
          <w:rFonts w:hint="eastAsia" w:ascii="宋体" w:hAnsi="宋体" w:eastAsia="宋体" w:cs="宋体"/>
          <w:color w:val="auto"/>
          <w:kern w:val="2"/>
          <w:sz w:val="24"/>
          <w:szCs w:val="24"/>
          <w:highlight w:val="none"/>
          <w:lang w:val="en-US" w:eastAsia="zh-CN" w:bidi="ar"/>
        </w:rPr>
        <w:t>的潜在投标人应在</w:t>
      </w:r>
      <w:r>
        <w:rPr>
          <w:rFonts w:hint="eastAsia" w:ascii="宋体" w:hAnsi="宋体" w:eastAsia="宋体" w:cs="宋体"/>
          <w:color w:val="auto"/>
          <w:kern w:val="2"/>
          <w:sz w:val="24"/>
          <w:szCs w:val="24"/>
          <w:highlight w:val="none"/>
          <w:u w:val="single"/>
          <w:lang w:val="en-US" w:eastAsia="zh-CN" w:bidi="ar"/>
        </w:rPr>
        <w:t>滁州市机电工程学校官网（http://www.cztc.edu.cn）</w:t>
      </w:r>
      <w:r>
        <w:rPr>
          <w:rFonts w:hint="eastAsia" w:ascii="宋体" w:hAnsi="宋体" w:eastAsia="宋体" w:cs="宋体"/>
          <w:color w:val="auto"/>
          <w:kern w:val="2"/>
          <w:sz w:val="24"/>
          <w:szCs w:val="24"/>
          <w:highlight w:val="none"/>
          <w:lang w:val="en-US" w:eastAsia="zh-CN" w:bidi="ar"/>
        </w:rPr>
        <w:t>获取招标文件，并于</w:t>
      </w:r>
      <w:r>
        <w:rPr>
          <w:rFonts w:hint="eastAsia" w:ascii="宋体" w:hAnsi="宋体" w:eastAsia="宋体" w:cs="宋体"/>
          <w:color w:val="auto"/>
          <w:kern w:val="2"/>
          <w:sz w:val="24"/>
          <w:szCs w:val="24"/>
          <w:highlight w:val="none"/>
          <w:u w:val="single"/>
          <w:lang w:val="en-US" w:eastAsia="zh-CN" w:bidi="ar"/>
        </w:rPr>
        <w:t>2025年</w:t>
      </w:r>
      <w:r>
        <w:rPr>
          <w:rFonts w:hint="eastAsia" w:ascii="宋体" w:hAnsi="宋体" w:eastAsia="宋体" w:cs="@仿宋_GB2312"/>
          <w:color w:val="auto"/>
          <w:kern w:val="2"/>
          <w:sz w:val="24"/>
          <w:szCs w:val="24"/>
          <w:highlight w:val="none"/>
          <w:u w:val="single"/>
          <w:lang w:val="en-US" w:eastAsia="zh-CN" w:bidi="ar"/>
        </w:rPr>
        <w:t>8</w:t>
      </w:r>
      <w:r>
        <w:rPr>
          <w:rFonts w:hint="eastAsia" w:ascii="宋体" w:hAnsi="宋体" w:eastAsia="宋体" w:cs="宋体"/>
          <w:color w:val="auto"/>
          <w:kern w:val="2"/>
          <w:sz w:val="24"/>
          <w:szCs w:val="24"/>
          <w:highlight w:val="none"/>
          <w:u w:val="single"/>
          <w:lang w:val="en-US" w:eastAsia="zh-CN" w:bidi="ar"/>
        </w:rPr>
        <w:t>月6日9点30分</w:t>
      </w:r>
      <w:r>
        <w:rPr>
          <w:rFonts w:hint="eastAsia" w:ascii="宋体" w:hAnsi="宋体" w:eastAsia="宋体" w:cs="宋体"/>
          <w:color w:val="auto"/>
          <w:kern w:val="2"/>
          <w:sz w:val="24"/>
          <w:szCs w:val="24"/>
          <w:highlight w:val="none"/>
          <w:lang w:val="en-US" w:eastAsia="zh-CN" w:bidi="ar"/>
        </w:rPr>
        <w:t>（北京时间）前递交投标文件。</w:t>
      </w:r>
    </w:p>
    <w:p w14:paraId="4C34ACFD">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一、项目基本情况</w:t>
      </w:r>
    </w:p>
    <w:p w14:paraId="3CCC0D5F">
      <w:pPr>
        <w:keepNext w:val="0"/>
        <w:keepLines w:val="0"/>
        <w:widowControl w:val="0"/>
        <w:suppressLineNumbers w:val="0"/>
        <w:spacing w:before="0" w:beforeAutospacing="0" w:after="0" w:afterAutospacing="0" w:line="360" w:lineRule="auto"/>
        <w:ind w:right="0" w:firstLine="480" w:firstLineChars="2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项目名称：滁州市机电工程学校老校区校医院服务项目</w:t>
      </w:r>
    </w:p>
    <w:p w14:paraId="36940947">
      <w:pPr>
        <w:keepNext w:val="0"/>
        <w:keepLines w:val="0"/>
        <w:widowControl w:val="0"/>
        <w:suppressLineNumbers w:val="0"/>
        <w:spacing w:before="0" w:beforeAutospacing="0" w:after="0" w:afterAutospacing="0" w:line="360" w:lineRule="auto"/>
        <w:ind w:right="0" w:firstLine="480" w:firstLineChars="2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预算金额：约13万元/年（本项目一招三年，合同每年一签，以学校搬迁时间为准，如提前搬迁当年度按月支付服务费）</w:t>
      </w:r>
    </w:p>
    <w:p w14:paraId="147B413D">
      <w:pPr>
        <w:keepNext w:val="0"/>
        <w:keepLines w:val="0"/>
        <w:widowControl w:val="0"/>
        <w:suppressLineNumbers w:val="0"/>
        <w:spacing w:before="0" w:beforeAutospacing="0" w:after="0" w:afterAutospacing="0" w:line="360" w:lineRule="auto"/>
        <w:ind w:right="0" w:firstLine="480" w:firstLineChars="2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最高限价：</w:t>
      </w:r>
      <w:r>
        <w:rPr>
          <w:rFonts w:hint="eastAsia" w:ascii="宋体" w:hAnsi="宋体" w:eastAsia="宋体" w:cs="宋体"/>
          <w:b w:val="0"/>
          <w:bCs w:val="0"/>
          <w:color w:val="auto"/>
          <w:kern w:val="2"/>
          <w:sz w:val="24"/>
          <w:szCs w:val="24"/>
          <w:highlight w:val="none"/>
          <w:lang w:val="en-US" w:eastAsia="zh-CN" w:bidi="ar"/>
        </w:rPr>
        <w:t>13万元/年</w:t>
      </w:r>
      <w:r>
        <w:rPr>
          <w:rFonts w:hint="eastAsia" w:ascii="宋体" w:hAnsi="宋体" w:eastAsia="宋体" w:cs="宋体"/>
          <w:color w:val="auto"/>
          <w:kern w:val="2"/>
          <w:sz w:val="24"/>
          <w:szCs w:val="24"/>
          <w:highlight w:val="none"/>
          <w:lang w:val="en-US" w:eastAsia="zh-CN" w:bidi="ar"/>
        </w:rPr>
        <w:t>，投标报价不得高于最高限价，否则其投标文件按无效投标处理。</w:t>
      </w:r>
    </w:p>
    <w:p w14:paraId="36411EB3">
      <w:pPr>
        <w:keepNext w:val="0"/>
        <w:keepLines w:val="0"/>
        <w:widowControl w:val="0"/>
        <w:suppressLineNumbers w:val="0"/>
        <w:spacing w:before="0" w:beforeAutospacing="0" w:after="0" w:afterAutospacing="0" w:line="360" w:lineRule="auto"/>
        <w:ind w:right="0" w:firstLine="480" w:firstLineChars="2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采购需求：详见招标文件第三章采购需求。</w:t>
      </w:r>
    </w:p>
    <w:p w14:paraId="58AC9DC4">
      <w:pPr>
        <w:keepNext w:val="0"/>
        <w:keepLines w:val="0"/>
        <w:widowControl w:val="0"/>
        <w:suppressLineNumbers w:val="0"/>
        <w:spacing w:before="0" w:beforeAutospacing="0" w:after="0" w:afterAutospacing="0" w:line="360" w:lineRule="auto"/>
        <w:ind w:right="0" w:firstLine="480" w:firstLineChars="200"/>
        <w:jc w:val="left"/>
        <w:outlineLvl w:val="9"/>
        <w:rPr>
          <w:rFonts w:hint="default" w:ascii="宋体" w:hAnsi="宋体" w:eastAsia="宋体" w:cs="@仿宋_GB2312"/>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合同履行期限：服务期三年（本项目一招三年，合同每年一签，每年年终甲方组织对乙方考核，满意度在60％以下，合同不再续签）。</w:t>
      </w:r>
    </w:p>
    <w:p w14:paraId="2894885B">
      <w:pPr>
        <w:keepNext w:val="0"/>
        <w:keepLines w:val="0"/>
        <w:widowControl w:val="0"/>
        <w:suppressLineNumbers w:val="0"/>
        <w:spacing w:before="0" w:beforeAutospacing="0" w:after="0" w:afterAutospacing="0" w:line="360" w:lineRule="auto"/>
        <w:ind w:right="0" w:firstLine="480" w:firstLineChars="2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本项目不接受联合体投标。</w:t>
      </w:r>
    </w:p>
    <w:p w14:paraId="7F40AA1B">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二、申请人的资格要求</w:t>
      </w:r>
    </w:p>
    <w:p w14:paraId="55251AA5">
      <w:pPr>
        <w:keepNext w:val="0"/>
        <w:keepLines w:val="0"/>
        <w:widowControl w:val="0"/>
        <w:suppressLineNumbers w:val="0"/>
        <w:spacing w:before="0" w:beforeAutospacing="0" w:after="0" w:afterAutospacing="0" w:line="360" w:lineRule="auto"/>
        <w:ind w:right="0" w:firstLine="480" w:firstLineChars="200"/>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1.供应商须具有有效的营业执照；</w:t>
      </w:r>
    </w:p>
    <w:p w14:paraId="0B4B38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2.信誉要求：投标人不得存在以下情形：</w:t>
      </w:r>
    </w:p>
    <w:p w14:paraId="74258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①被列入“信用中国”网站“失信被执行人”的；</w:t>
      </w:r>
    </w:p>
    <w:p w14:paraId="300B57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②被列入“信用中国”网站“重大税收违法失信主体”的；</w:t>
      </w:r>
    </w:p>
    <w:p w14:paraId="1B152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③被列入“信用中国”网站 “严重失信主体名单”的；</w:t>
      </w:r>
    </w:p>
    <w:p w14:paraId="5CCDBA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④在“信用中国”网站上披露的仍在公示期的严重失信行为(具体行为类别及判定依据见“信用中国”查询的严重失信行为类别及判定依据)的。</w:t>
      </w:r>
    </w:p>
    <w:p w14:paraId="23794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⑤被列入国家企业信用信息公示系统网站“经营异常名录”或者“严重违法失信名单”的。</w:t>
      </w:r>
    </w:p>
    <w:p w14:paraId="46751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⑥被列入中国政府采购网站“政府采购严重违法失信行为信息记录”的。</w:t>
      </w:r>
    </w:p>
    <w:p w14:paraId="573F1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⑦前三年有行贿犯罪行为的单位和个人。</w:t>
      </w:r>
    </w:p>
    <w:p w14:paraId="5D4E63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3.投标人所属分公司、办事处等分支机构存在第4款信誉要求①-⑦项情形之一的，接受投标人参加本项目。</w:t>
      </w:r>
    </w:p>
    <w:p w14:paraId="66B6CC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备注：第2、3条按照“关于联合惩戒失信行为加强信用查询管理的通知”查询或承诺。</w:t>
      </w:r>
    </w:p>
    <w:p w14:paraId="387605CA">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三、获取招标文件</w:t>
      </w:r>
    </w:p>
    <w:p w14:paraId="560ADFF1">
      <w:pPr>
        <w:keepNext w:val="0"/>
        <w:keepLines w:val="0"/>
        <w:widowControl w:val="0"/>
        <w:suppressLineNumbers w:val="0"/>
        <w:spacing w:before="0" w:beforeAutospacing="0" w:after="0" w:afterAutospacing="0" w:line="360" w:lineRule="auto"/>
        <w:ind w:left="0" w:right="0" w:firstLine="540"/>
        <w:jc w:val="both"/>
        <w:outlineLvl w:val="9"/>
        <w:rPr>
          <w:rFonts w:hint="eastAsia" w:ascii="宋体" w:hAnsi="宋体" w:eastAsia="宋体" w:cs="宋体"/>
          <w:i/>
          <w:i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时间：2025年7月29日至2025年8月6日</w:t>
      </w:r>
    </w:p>
    <w:p w14:paraId="4CFD6EC3">
      <w:pPr>
        <w:keepNext w:val="0"/>
        <w:keepLines w:val="0"/>
        <w:widowControl w:val="0"/>
        <w:suppressLineNumbers w:val="0"/>
        <w:wordWrap w:val="0"/>
        <w:autoSpaceDE w:val="0"/>
        <w:autoSpaceDN/>
        <w:spacing w:before="0" w:beforeAutospacing="0" w:after="0" w:afterAutospacing="0" w:line="360" w:lineRule="auto"/>
        <w:ind w:left="0" w:right="0" w:firstLine="539"/>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地点：滁州市机电工程学校官网</w:t>
      </w:r>
    </w:p>
    <w:p w14:paraId="13FE13BC">
      <w:pPr>
        <w:keepNext w:val="0"/>
        <w:keepLines w:val="0"/>
        <w:widowControl w:val="0"/>
        <w:suppressLineNumbers w:val="0"/>
        <w:spacing w:before="0" w:beforeAutospacing="0" w:after="0" w:afterAutospacing="0" w:line="360" w:lineRule="auto"/>
        <w:ind w:left="0" w:right="0" w:firstLine="540"/>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方式：网上自行下载</w:t>
      </w:r>
    </w:p>
    <w:p w14:paraId="7DDE8618">
      <w:pPr>
        <w:keepNext w:val="0"/>
        <w:keepLines w:val="0"/>
        <w:widowControl w:val="0"/>
        <w:suppressLineNumbers w:val="0"/>
        <w:autoSpaceDE w:val="0"/>
        <w:autoSpaceDN/>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四、开标时间和地点</w:t>
      </w:r>
    </w:p>
    <w:p w14:paraId="0BD880F2">
      <w:pPr>
        <w:keepNext w:val="0"/>
        <w:keepLines w:val="0"/>
        <w:widowControl w:val="0"/>
        <w:suppressLineNumbers w:val="0"/>
        <w:autoSpaceDE w:val="0"/>
        <w:autoSpaceDN/>
        <w:spacing w:before="0" w:beforeAutospacing="0" w:after="0" w:afterAutospacing="0" w:line="360" w:lineRule="auto"/>
        <w:ind w:left="0" w:right="0" w:firstLine="480" w:firstLineChars="200"/>
        <w:jc w:val="both"/>
        <w:outlineLvl w:val="9"/>
        <w:rPr>
          <w:rFonts w:hint="eastAsia" w:ascii="宋体" w:hAnsi="宋体" w:eastAsia="宋体" w:cs="宋体"/>
          <w:bCs/>
          <w:color w:val="auto"/>
          <w:kern w:val="2"/>
          <w:sz w:val="24"/>
          <w:szCs w:val="24"/>
          <w:highlight w:val="none"/>
        </w:rPr>
      </w:pPr>
      <w:r>
        <w:rPr>
          <w:rFonts w:hint="eastAsia" w:ascii="宋体" w:hAnsi="宋体" w:eastAsia="宋体" w:cs="宋体"/>
          <w:i w:val="0"/>
          <w:iCs w:val="0"/>
          <w:color w:val="auto"/>
          <w:spacing w:val="0"/>
          <w:kern w:val="2"/>
          <w:sz w:val="24"/>
          <w:szCs w:val="24"/>
          <w:highlight w:val="none"/>
          <w:shd w:val="clear" w:fill="FFFFFF"/>
          <w:lang w:val="en-US" w:eastAsia="zh-CN" w:bidi="ar"/>
        </w:rPr>
        <w:t>开标时间：</w:t>
      </w:r>
      <w:r>
        <w:rPr>
          <w:rFonts w:hint="eastAsia" w:ascii="宋体" w:hAnsi="宋体" w:eastAsia="宋体" w:cs="宋体"/>
          <w:bCs/>
          <w:color w:val="auto"/>
          <w:kern w:val="2"/>
          <w:sz w:val="24"/>
          <w:szCs w:val="24"/>
          <w:highlight w:val="none"/>
          <w:lang w:val="en-US" w:eastAsia="zh-CN" w:bidi="ar"/>
        </w:rPr>
        <w:t>2025年8月6日9点30分（北京时间）</w:t>
      </w:r>
    </w:p>
    <w:p w14:paraId="51C72F29">
      <w:pPr>
        <w:keepNext w:val="0"/>
        <w:keepLines w:val="0"/>
        <w:widowControl w:val="0"/>
        <w:suppressLineNumbers w:val="0"/>
        <w:autoSpaceDE w:val="0"/>
        <w:autoSpaceDN/>
        <w:spacing w:before="0" w:beforeAutospacing="0" w:after="0" w:afterAutospacing="0" w:line="360" w:lineRule="auto"/>
        <w:ind w:right="0" w:firstLine="480" w:firstLineChars="200"/>
        <w:jc w:val="both"/>
        <w:outlineLvl w:val="9"/>
        <w:rPr>
          <w:rFonts w:hint="default" w:ascii="宋体" w:hAnsi="宋体" w:eastAsia="宋体" w:cs="@仿宋_GB2312"/>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地点：安徽展荣项目管理有限公司会议室（</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滁州市世贸大厦A座18楼1818室</w:t>
      </w:r>
      <w:r>
        <w:rPr>
          <w:rFonts w:hint="eastAsia" w:ascii="宋体" w:hAnsi="宋体" w:eastAsia="宋体" w:cs="宋体"/>
          <w:b w:val="0"/>
          <w:bCs w:val="0"/>
          <w:color w:val="auto"/>
          <w:kern w:val="2"/>
          <w:sz w:val="24"/>
          <w:szCs w:val="24"/>
          <w:highlight w:val="none"/>
          <w:lang w:val="en-US" w:eastAsia="zh-CN" w:bidi="ar"/>
        </w:rPr>
        <w:t>）</w:t>
      </w:r>
    </w:p>
    <w:p w14:paraId="209390C6">
      <w:pPr>
        <w:keepNext w:val="0"/>
        <w:keepLines w:val="0"/>
        <w:widowControl w:val="0"/>
        <w:suppressLineNumbers w:val="0"/>
        <w:spacing w:before="0" w:beforeAutospacing="0" w:after="0" w:afterAutospacing="0" w:line="360" w:lineRule="auto"/>
        <w:ind w:right="0"/>
        <w:jc w:val="left"/>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五、公告期限</w:t>
      </w:r>
    </w:p>
    <w:p w14:paraId="661575D9">
      <w:pPr>
        <w:keepNext w:val="0"/>
        <w:keepLines w:val="0"/>
        <w:widowControl w:val="0"/>
        <w:suppressLineNumbers w:val="0"/>
        <w:autoSpaceDE w:val="0"/>
        <w:autoSpaceDN/>
        <w:spacing w:before="0" w:beforeAutospacing="0" w:after="0" w:afterAutospacing="0" w:line="360" w:lineRule="auto"/>
        <w:ind w:left="0" w:right="0" w:firstLine="437"/>
        <w:jc w:val="both"/>
        <w:outlineLvl w:val="9"/>
        <w:rPr>
          <w:rFonts w:hint="eastAsia" w:ascii="宋体" w:hAnsi="宋体" w:eastAsia="宋体" w:cs="@仿宋_GB2312"/>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自本公告发布之日起5个工作日。</w:t>
      </w:r>
    </w:p>
    <w:p w14:paraId="4B70D60B">
      <w:pPr>
        <w:keepNext w:val="0"/>
        <w:keepLines w:val="0"/>
        <w:widowControl w:val="0"/>
        <w:suppressLineNumbers w:val="0"/>
        <w:autoSpaceDE w:val="0"/>
        <w:autoSpaceDN/>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六、投标保证金</w:t>
      </w:r>
    </w:p>
    <w:p w14:paraId="1129FF1B">
      <w:pPr>
        <w:keepNext w:val="0"/>
        <w:keepLines w:val="0"/>
        <w:widowControl w:val="0"/>
        <w:suppressLineNumbers w:val="0"/>
        <w:autoSpaceDE w:val="0"/>
        <w:autoSpaceDN/>
        <w:spacing w:before="0" w:beforeAutospacing="0" w:after="0" w:afterAutospacing="0" w:line="360" w:lineRule="auto"/>
        <w:ind w:left="0" w:right="0" w:firstLine="437"/>
        <w:jc w:val="both"/>
        <w:outlineLvl w:val="9"/>
        <w:rPr>
          <w:rFonts w:hint="eastAsia" w:ascii="宋体" w:hAnsi="宋体" w:eastAsia="宋体" w:cs="@仿宋_GB2312"/>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不要求</w:t>
      </w:r>
    </w:p>
    <w:p w14:paraId="23E6D7D1">
      <w:pPr>
        <w:keepNext w:val="0"/>
        <w:keepLines w:val="0"/>
        <w:widowControl w:val="0"/>
        <w:suppressLineNumbers w:val="0"/>
        <w:autoSpaceDE w:val="0"/>
        <w:autoSpaceDN/>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七、其他补充事宜</w:t>
      </w:r>
    </w:p>
    <w:p w14:paraId="042822DA">
      <w:pPr>
        <w:keepNext w:val="0"/>
        <w:keepLines w:val="0"/>
        <w:widowControl w:val="0"/>
        <w:suppressLineNumbers w:val="0"/>
        <w:spacing w:before="0" w:beforeAutospacing="0" w:after="0" w:afterAutospacing="0" w:line="360" w:lineRule="auto"/>
        <w:ind w:left="0" w:right="0" w:firstLine="437"/>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无</w:t>
      </w:r>
    </w:p>
    <w:p w14:paraId="3B7478AD">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八、对本次招标提出询问，请按以下方式联系</w:t>
      </w:r>
    </w:p>
    <w:p w14:paraId="1CF4F7E3">
      <w:pPr>
        <w:keepNext w:val="0"/>
        <w:keepLines w:val="0"/>
        <w:widowControl w:val="0"/>
        <w:suppressLineNumbers w:val="0"/>
        <w:spacing w:before="0" w:beforeAutospacing="0" w:after="0" w:afterAutospacing="0" w:line="360" w:lineRule="auto"/>
        <w:ind w:left="0" w:right="0" w:firstLine="437"/>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1.采购人信息</w:t>
      </w:r>
    </w:p>
    <w:p w14:paraId="075D532B">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滁州市机电工程学校</w:t>
      </w:r>
    </w:p>
    <w:p w14:paraId="71D33116">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安徽省滁州市丰乐大道2238号</w:t>
      </w:r>
    </w:p>
    <w:p w14:paraId="2A46FB9F">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石中山</w:t>
      </w:r>
    </w:p>
    <w:p w14:paraId="0FB7BEE8">
      <w:pPr>
        <w:keepNext w:val="0"/>
        <w:keepLines w:val="0"/>
        <w:widowControl w:val="0"/>
        <w:suppressLineNumbers w:val="0"/>
        <w:spacing w:before="0" w:beforeAutospacing="0" w:after="0" w:afterAutospacing="0" w:line="360" w:lineRule="auto"/>
        <w:ind w:left="0" w:right="0" w:firstLine="435"/>
        <w:jc w:val="both"/>
        <w:outlineLvl w:val="9"/>
        <w:rPr>
          <w:rFonts w:hint="default" w:ascii="宋体" w:hAnsi="宋体" w:eastAsia="宋体" w:cs="@仿宋_GB2312"/>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13955009393</w:t>
      </w:r>
    </w:p>
    <w:p w14:paraId="2577FC13">
      <w:pPr>
        <w:keepNext w:val="0"/>
        <w:keepLines w:val="0"/>
        <w:widowControl w:val="0"/>
        <w:suppressLineNumbers w:val="0"/>
        <w:spacing w:before="0" w:beforeAutospacing="0" w:after="0" w:afterAutospacing="0" w:line="360" w:lineRule="auto"/>
        <w:ind w:left="0" w:right="0" w:firstLine="437"/>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2.采购代理机构</w:t>
      </w:r>
      <w:r>
        <w:rPr>
          <w:rFonts w:hint="eastAsia" w:ascii="宋体" w:hAnsi="宋体" w:eastAsia="宋体" w:cs="宋体"/>
          <w:color w:val="auto"/>
          <w:kern w:val="2"/>
          <w:sz w:val="24"/>
          <w:szCs w:val="24"/>
          <w:highlight w:val="none"/>
          <w:lang w:val="en-US" w:eastAsia="zh-CN" w:bidi="ar"/>
        </w:rPr>
        <w:t>信息</w:t>
      </w:r>
    </w:p>
    <w:p w14:paraId="59AA4729">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安徽展荣项目管理有限公司</w:t>
      </w:r>
    </w:p>
    <w:p w14:paraId="55DB7997">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滁州市世贸大厦A座18楼1818室</w:t>
      </w:r>
    </w:p>
    <w:p w14:paraId="6FDFD151">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王啸</w:t>
      </w:r>
    </w:p>
    <w:p w14:paraId="6525FD3F">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15155030510</w:t>
      </w:r>
    </w:p>
    <w:p w14:paraId="14DFD697">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5750EF7">
      <w:pPr>
        <w:spacing w:line="360" w:lineRule="auto"/>
        <w:jc w:val="center"/>
        <w:outlineLvl w:val="0"/>
        <w:rPr>
          <w:rFonts w:asciiTheme="minorEastAsia" w:hAnsiTheme="minorEastAsia" w:eastAsiaTheme="minorEastAsia"/>
          <w:b/>
          <w:color w:val="auto"/>
          <w:sz w:val="28"/>
          <w:highlight w:val="none"/>
        </w:rPr>
      </w:pPr>
      <w:bookmarkStart w:id="1" w:name="_Toc22763"/>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1"/>
    </w:p>
    <w:p w14:paraId="1D0E99F5">
      <w:pPr>
        <w:spacing w:line="360" w:lineRule="auto"/>
        <w:jc w:val="center"/>
        <w:outlineLvl w:val="9"/>
        <w:rPr>
          <w:rFonts w:asciiTheme="minorEastAsia" w:hAnsiTheme="minorEastAsia" w:eastAsiaTheme="minorEastAsia"/>
          <w:b/>
          <w:color w:val="auto"/>
          <w:sz w:val="24"/>
          <w:highlight w:val="none"/>
        </w:rPr>
      </w:pPr>
      <w:bookmarkStart w:id="2" w:name="_Toc3114"/>
      <w:bookmarkStart w:id="3"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2"/>
      <w:bookmarkEnd w:id="3"/>
    </w:p>
    <w:p w14:paraId="0978B160">
      <w:pPr>
        <w:spacing w:line="360" w:lineRule="auto"/>
        <w:ind w:firstLine="241" w:firstLineChars="100"/>
        <w:outlineLvl w:val="9"/>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4"/>
        <w:tblW w:w="5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718"/>
        <w:gridCol w:w="6695"/>
      </w:tblGrid>
      <w:tr w14:paraId="2F64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5865F332">
            <w:pPr>
              <w:pStyle w:val="33"/>
              <w:widowControl w:val="0"/>
              <w:spacing w:before="0" w:beforeAutospacing="0" w:after="0" w:afterAutospacing="0"/>
              <w:outlineLvl w:val="9"/>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907" w:type="pct"/>
            <w:vAlign w:val="center"/>
          </w:tcPr>
          <w:p w14:paraId="7620405C">
            <w:pPr>
              <w:pStyle w:val="33"/>
              <w:widowControl w:val="0"/>
              <w:spacing w:before="0" w:beforeAutospacing="0" w:after="0" w:afterAutospacing="0"/>
              <w:outlineLvl w:val="9"/>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535" w:type="pct"/>
            <w:vAlign w:val="center"/>
          </w:tcPr>
          <w:p w14:paraId="7AB68C35">
            <w:pPr>
              <w:pStyle w:val="33"/>
              <w:widowControl w:val="0"/>
              <w:spacing w:before="0" w:beforeAutospacing="0" w:after="0" w:afterAutospacing="0"/>
              <w:outlineLvl w:val="9"/>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1D74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4BFB0364">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907" w:type="pct"/>
            <w:vAlign w:val="center"/>
          </w:tcPr>
          <w:p w14:paraId="33E1A29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highlight w:val="none"/>
                <w:lang w:eastAsia="zh-CN"/>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535" w:type="pct"/>
            <w:vAlign w:val="center"/>
          </w:tcPr>
          <w:p w14:paraId="1D8D4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color w:val="auto"/>
                <w:sz w:val="24"/>
                <w:highlight w:val="none"/>
              </w:rPr>
            </w:pPr>
            <w:r>
              <w:rPr>
                <w:rFonts w:hint="eastAsia" w:ascii="宋体" w:hAnsi="宋体" w:eastAsia="宋体"/>
                <w:color w:val="auto"/>
                <w:sz w:val="24"/>
                <w:szCs w:val="20"/>
                <w:highlight w:val="none"/>
              </w:rPr>
              <w:t>不组织</w:t>
            </w:r>
            <w:r>
              <w:rPr>
                <w:rFonts w:hint="eastAsia" w:ascii="宋体" w:hAnsi="宋体" w:eastAsia="宋体"/>
                <w:color w:val="auto"/>
                <w:sz w:val="24"/>
                <w:szCs w:val="20"/>
                <w:highlight w:val="none"/>
                <w:lang w:val="en-US" w:eastAsia="zh-CN"/>
              </w:rPr>
              <w:t>或不召开</w:t>
            </w:r>
          </w:p>
        </w:tc>
      </w:tr>
      <w:tr w14:paraId="6952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7F60A2FB">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6</w:t>
            </w:r>
            <w:r>
              <w:rPr>
                <w:rFonts w:hint="default" w:ascii="宋体" w:hAnsi="宋体" w:eastAsia="宋体"/>
                <w:bCs/>
                <w:color w:val="auto"/>
                <w:kern w:val="2"/>
                <w:highlight w:val="none"/>
              </w:rPr>
              <w:t>.1</w:t>
            </w:r>
          </w:p>
        </w:tc>
        <w:tc>
          <w:tcPr>
            <w:tcW w:w="907" w:type="pct"/>
            <w:vAlign w:val="center"/>
          </w:tcPr>
          <w:p w14:paraId="590F3B1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投标人提出疑问的截止时间及方式</w:t>
            </w:r>
          </w:p>
        </w:tc>
        <w:tc>
          <w:tcPr>
            <w:tcW w:w="3535" w:type="pct"/>
            <w:vAlign w:val="center"/>
          </w:tcPr>
          <w:p w14:paraId="28B500AD">
            <w:pPr>
              <w:pStyle w:val="33"/>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bCs w:val="0"/>
                <w:color w:val="auto"/>
                <w:sz w:val="24"/>
                <w:highlight w:val="none"/>
                <w:lang w:eastAsia="zh-CN"/>
              </w:rPr>
            </w:pPr>
            <w:r>
              <w:rPr>
                <w:rFonts w:hint="eastAsia" w:ascii="宋体" w:hAnsi="宋体" w:eastAsia="宋体" w:cs="@仿宋_GB2312"/>
                <w:b w:val="0"/>
                <w:bCs w:val="0"/>
                <w:color w:val="auto"/>
                <w:kern w:val="2"/>
                <w:sz w:val="24"/>
                <w:szCs w:val="20"/>
                <w:highlight w:val="none"/>
                <w:lang w:val="en-US" w:eastAsia="zh-CN" w:bidi="ar-SA"/>
              </w:rPr>
              <w:t>如投标人对招标文件有疑问，请于2025年8月3日15时前，投标人将所遇到的问题以电子邮件形式传至1260027335@qq.com（邮箱）；</w:t>
            </w:r>
          </w:p>
        </w:tc>
      </w:tr>
      <w:tr w14:paraId="1F38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77A4627">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6.2</w:t>
            </w:r>
          </w:p>
        </w:tc>
        <w:tc>
          <w:tcPr>
            <w:tcW w:w="907" w:type="pct"/>
            <w:vAlign w:val="center"/>
          </w:tcPr>
          <w:p w14:paraId="3A8F5B7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cs="@仿宋_GB2312"/>
                <w:b w:val="0"/>
                <w:bCs w:val="0"/>
                <w:color w:val="auto"/>
                <w:kern w:val="2"/>
                <w:sz w:val="24"/>
                <w:szCs w:val="20"/>
                <w:highlight w:val="none"/>
                <w:lang w:val="en-US" w:eastAsia="zh-CN" w:bidi="ar-SA"/>
              </w:rPr>
              <w:t>采购人澄清的时间及方式</w:t>
            </w:r>
          </w:p>
        </w:tc>
        <w:tc>
          <w:tcPr>
            <w:tcW w:w="3535" w:type="pct"/>
            <w:vAlign w:val="center"/>
          </w:tcPr>
          <w:p w14:paraId="2D66221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cs="@仿宋_GB2312"/>
                <w:b w:val="0"/>
                <w:bCs w:val="0"/>
                <w:color w:val="auto"/>
                <w:kern w:val="2"/>
                <w:sz w:val="24"/>
                <w:szCs w:val="20"/>
                <w:highlight w:val="none"/>
                <w:lang w:val="en-US" w:eastAsia="zh-CN" w:bidi="ar-SA"/>
              </w:rPr>
              <w:t>答疑、澄清内容于2025年8月4日15 时前以更正公告形式在滁州市机电工程学校官网以发布更正公告的方式予以公告</w:t>
            </w:r>
            <w:r>
              <w:rPr>
                <w:rFonts w:hint="eastAsia" w:ascii="宋体" w:hAnsi="宋体" w:eastAsia="宋体" w:cs="@仿宋_GB2312"/>
                <w:b w:val="0"/>
                <w:bCs w:val="0"/>
                <w:color w:val="auto"/>
                <w:kern w:val="2"/>
                <w:sz w:val="24"/>
                <w:szCs w:val="20"/>
                <w:highlight w:val="none"/>
                <w:lang w:val="zh-CN" w:eastAsia="zh-CN" w:bidi="ar-SA"/>
              </w:rPr>
              <w:t>。</w:t>
            </w:r>
            <w:r>
              <w:rPr>
                <w:rFonts w:hint="eastAsia" w:ascii="宋体" w:hAnsi="宋体" w:eastAsia="宋体" w:cs="@仿宋_GB2312"/>
                <w:b w:val="0"/>
                <w:bCs w:val="0"/>
                <w:color w:val="auto"/>
                <w:kern w:val="2"/>
                <w:sz w:val="24"/>
                <w:szCs w:val="20"/>
                <w:highlight w:val="none"/>
                <w:lang w:val="en-US" w:eastAsia="zh-CN" w:bidi="ar-SA"/>
              </w:rPr>
              <w:t>请各位投标人注意查看有关澄清内容，如不及时查看造成后果由投标人自负。</w:t>
            </w:r>
          </w:p>
        </w:tc>
      </w:tr>
      <w:tr w14:paraId="2E80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863B9A0">
            <w:pPr>
              <w:pStyle w:val="34"/>
              <w:pBdr>
                <w:bottom w:val="none" w:color="auto" w:sz="0" w:space="0"/>
              </w:pBdr>
              <w:tabs>
                <w:tab w:val="clear" w:pos="4153"/>
                <w:tab w:val="clear" w:pos="8306"/>
              </w:tabs>
              <w:adjustRightInd/>
              <w:spacing w:line="240" w:lineRule="auto"/>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907" w:type="pct"/>
            <w:vAlign w:val="center"/>
          </w:tcPr>
          <w:p w14:paraId="35FCECA2">
            <w:pPr>
              <w:pStyle w:val="33"/>
              <w:widowControl w:val="0"/>
              <w:spacing w:before="0" w:beforeAutospacing="0" w:after="0" w:afterAutospacing="0"/>
              <w:jc w:val="left"/>
              <w:outlineLvl w:val="9"/>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535" w:type="pct"/>
            <w:vAlign w:val="center"/>
          </w:tcPr>
          <w:p w14:paraId="3AF073E8">
            <w:pPr>
              <w:pStyle w:val="33"/>
              <w:widowControl w:val="0"/>
              <w:spacing w:before="0" w:beforeAutospacing="0" w:after="0" w:afterAutospacing="0"/>
              <w:jc w:val="both"/>
              <w:outlineLvl w:val="9"/>
              <w:rPr>
                <w:rFonts w:ascii="宋体" w:hAnsi="宋体" w:eastAsia="宋体"/>
                <w:b w:val="0"/>
                <w:color w:val="auto"/>
                <w:sz w:val="24"/>
                <w:highlight w:val="none"/>
                <w:u w:val="single"/>
              </w:rPr>
            </w:pPr>
            <w:r>
              <w:rPr>
                <w:rFonts w:ascii="宋体" w:hAnsi="宋体" w:eastAsia="宋体"/>
                <w:b w:val="0"/>
                <w:color w:val="auto"/>
                <w:sz w:val="24"/>
                <w:highlight w:val="none"/>
              </w:rPr>
              <w:t xml:space="preserve">不分包    </w:t>
            </w:r>
          </w:p>
        </w:tc>
      </w:tr>
      <w:tr w14:paraId="474E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57" w:type="pct"/>
            <w:vAlign w:val="center"/>
          </w:tcPr>
          <w:p w14:paraId="294648E7">
            <w:pPr>
              <w:pStyle w:val="34"/>
              <w:pBdr>
                <w:bottom w:val="none" w:color="auto" w:sz="0" w:space="0"/>
              </w:pBdr>
              <w:tabs>
                <w:tab w:val="clear" w:pos="4153"/>
                <w:tab w:val="clear" w:pos="8306"/>
              </w:tabs>
              <w:adjustRightInd/>
              <w:spacing w:line="240" w:lineRule="auto"/>
              <w:outlineLvl w:val="9"/>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907" w:type="pct"/>
            <w:vAlign w:val="center"/>
          </w:tcPr>
          <w:p w14:paraId="51EF6315">
            <w:pPr>
              <w:pStyle w:val="33"/>
              <w:widowControl w:val="0"/>
              <w:spacing w:before="0" w:beforeAutospacing="0" w:after="0" w:afterAutospacing="0" w:line="360" w:lineRule="auto"/>
              <w:jc w:val="left"/>
              <w:outlineLvl w:val="9"/>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535" w:type="pct"/>
            <w:vAlign w:val="center"/>
          </w:tcPr>
          <w:p w14:paraId="6323093D">
            <w:pPr>
              <w:spacing w:line="360" w:lineRule="auto"/>
              <w:outlineLvl w:val="9"/>
              <w:rPr>
                <w:color w:val="auto"/>
                <w:highlight w:val="none"/>
              </w:rPr>
            </w:pPr>
            <w:r>
              <w:rPr>
                <w:rFonts w:hint="eastAsia" w:ascii="宋体" w:hAnsi="宋体" w:eastAsia="宋体"/>
                <w:bCs/>
                <w:color w:val="auto"/>
                <w:kern w:val="0"/>
                <w:sz w:val="24"/>
                <w:szCs w:val="28"/>
                <w:highlight w:val="none"/>
              </w:rPr>
              <w:t>不收取</w:t>
            </w:r>
          </w:p>
        </w:tc>
      </w:tr>
      <w:tr w14:paraId="01DF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66CAF54D">
            <w:pPr>
              <w:pStyle w:val="34"/>
              <w:pBdr>
                <w:bottom w:val="none" w:color="auto" w:sz="0" w:space="0"/>
              </w:pBdr>
              <w:tabs>
                <w:tab w:val="clear" w:pos="4153"/>
                <w:tab w:val="clear" w:pos="8306"/>
              </w:tabs>
              <w:adjustRightInd/>
              <w:spacing w:line="240" w:lineRule="auto"/>
              <w:outlineLvl w:val="9"/>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907" w:type="pct"/>
            <w:vAlign w:val="center"/>
          </w:tcPr>
          <w:p w14:paraId="35213FC2">
            <w:pPr>
              <w:pStyle w:val="33"/>
              <w:widowControl w:val="0"/>
              <w:spacing w:before="0" w:beforeAutospacing="0" w:after="0" w:afterAutospacing="0" w:line="360" w:lineRule="auto"/>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535" w:type="pct"/>
            <w:vAlign w:val="center"/>
          </w:tcPr>
          <w:p w14:paraId="6C085DB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rPr>
              <w:t>日历</w:t>
            </w:r>
            <w:r>
              <w:rPr>
                <w:rFonts w:hint="eastAsia" w:ascii="宋体" w:hAnsi="宋体" w:eastAsia="宋体"/>
                <w:b w:val="0"/>
                <w:color w:val="auto"/>
                <w:sz w:val="24"/>
                <w:highlight w:val="none"/>
                <w:lang w:val="en-US" w:eastAsia="zh-CN"/>
              </w:rPr>
              <w:t>天</w:t>
            </w:r>
          </w:p>
        </w:tc>
      </w:tr>
      <w:tr w14:paraId="1B1F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68ACD7A">
            <w:pPr>
              <w:pStyle w:val="34"/>
              <w:pBdr>
                <w:bottom w:val="none" w:color="auto" w:sz="0" w:space="0"/>
              </w:pBdr>
              <w:tabs>
                <w:tab w:val="clear" w:pos="4153"/>
                <w:tab w:val="clear" w:pos="8306"/>
              </w:tabs>
              <w:adjustRightInd/>
              <w:spacing w:line="240" w:lineRule="auto"/>
              <w:outlineLvl w:val="9"/>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12</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907" w:type="pct"/>
            <w:vAlign w:val="center"/>
          </w:tcPr>
          <w:p w14:paraId="25DF3470">
            <w:pPr>
              <w:pStyle w:val="33"/>
              <w:widowControl w:val="0"/>
              <w:spacing w:before="0" w:beforeAutospacing="0" w:after="0" w:afterAutospacing="0" w:line="360" w:lineRule="auto"/>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投标文件份数</w:t>
            </w:r>
          </w:p>
        </w:tc>
        <w:tc>
          <w:tcPr>
            <w:tcW w:w="3535" w:type="pct"/>
            <w:vAlign w:val="center"/>
          </w:tcPr>
          <w:p w14:paraId="3EC564CF">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default" w:ascii="宋体" w:hAnsi="宋体" w:eastAsia="宋体"/>
                <w:b w:val="0"/>
                <w:color w:val="auto"/>
                <w:sz w:val="24"/>
                <w:highlight w:val="none"/>
                <w:u w:val="single"/>
                <w:lang w:val="en-US" w:eastAsia="zh-CN"/>
              </w:rPr>
            </w:pPr>
            <w:r>
              <w:rPr>
                <w:rFonts w:hint="eastAsia" w:cs="@仿宋_GB2312" w:asciiTheme="minorEastAsia" w:hAnsiTheme="minorEastAsia" w:eastAsiaTheme="minorEastAsia"/>
                <w:b/>
                <w:bCs w:val="0"/>
                <w:color w:val="auto"/>
                <w:kern w:val="2"/>
                <w:sz w:val="24"/>
                <w:szCs w:val="24"/>
                <w:highlight w:val="none"/>
                <w:lang w:val="en-US" w:eastAsia="zh-CN" w:bidi="ar-SA"/>
              </w:rPr>
              <w:t>资信证明文件正本1份，副本2份；技术标文件正本1份，副本2份；商务标文件正本1份，副本2份。</w:t>
            </w:r>
          </w:p>
        </w:tc>
      </w:tr>
      <w:tr w14:paraId="36AB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7063842D">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rPr>
            </w:pPr>
            <w:r>
              <w:rPr>
                <w:rFonts w:hint="eastAsia" w:ascii="宋体" w:hAnsi="宋体" w:eastAsia="宋体"/>
                <w:bCs/>
                <w:color w:val="auto"/>
                <w:kern w:val="2"/>
                <w:highlight w:val="none"/>
                <w:lang w:val="en-US" w:eastAsia="zh-CN"/>
              </w:rPr>
              <w:t>12.2</w:t>
            </w:r>
          </w:p>
        </w:tc>
        <w:tc>
          <w:tcPr>
            <w:tcW w:w="907" w:type="pct"/>
            <w:vAlign w:val="center"/>
          </w:tcPr>
          <w:p w14:paraId="32A80F67">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ascii="宋体" w:hAnsi="宋体" w:eastAsia="宋体"/>
                <w:b w:val="0"/>
                <w:color w:val="auto"/>
                <w:sz w:val="24"/>
                <w:highlight w:val="none"/>
                <w:lang w:val="en-US" w:eastAsia="zh-CN"/>
              </w:rPr>
            </w:pPr>
            <w:r>
              <w:rPr>
                <w:rFonts w:hint="eastAsia" w:cs="@仿宋_GB2312" w:asciiTheme="minorEastAsia" w:hAnsiTheme="minorEastAsia" w:eastAsiaTheme="minorEastAsia"/>
                <w:b w:val="0"/>
                <w:bCs/>
                <w:color w:val="auto"/>
                <w:kern w:val="2"/>
                <w:sz w:val="24"/>
                <w:szCs w:val="24"/>
                <w:highlight w:val="none"/>
                <w:lang w:val="en-US" w:eastAsia="zh-CN" w:bidi="ar-SA"/>
              </w:rPr>
              <w:t>具体密封要求</w:t>
            </w:r>
          </w:p>
        </w:tc>
        <w:tc>
          <w:tcPr>
            <w:tcW w:w="3535" w:type="pct"/>
            <w:vAlign w:val="center"/>
          </w:tcPr>
          <w:p w14:paraId="2CB73423">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的正本和副本应采用胶装（或订书机装订）方式左侧装订，不得采用活页夹的可随时拆换的方式装订，不得有零散页。投标文件应按照“投标文件格式”的目录次序分别装订，并按资信证明文件、技术标、商务标分别密封。资信证明文件正副本密封于资信证明文件袋内，技术标正副本密封于技术标文件袋内，商务标正副本密封于商务文件袋内，否则其投标文件将被拒收。</w:t>
            </w:r>
          </w:p>
        </w:tc>
      </w:tr>
      <w:tr w14:paraId="7D79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1A44F642">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rPr>
            </w:pPr>
            <w:r>
              <w:rPr>
                <w:rFonts w:hint="eastAsia" w:ascii="宋体" w:hAnsi="宋体" w:eastAsia="宋体"/>
                <w:bCs/>
                <w:color w:val="auto"/>
                <w:kern w:val="2"/>
                <w:highlight w:val="none"/>
                <w:lang w:val="en-US" w:eastAsia="zh-CN"/>
              </w:rPr>
              <w:t>12.3</w:t>
            </w:r>
          </w:p>
        </w:tc>
        <w:tc>
          <w:tcPr>
            <w:tcW w:w="907" w:type="pct"/>
            <w:vAlign w:val="center"/>
          </w:tcPr>
          <w:p w14:paraId="00ED87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highlight w:val="none"/>
                <w:lang w:val="en-US" w:eastAsia="zh-CN"/>
              </w:rPr>
            </w:pPr>
            <w:r>
              <w:rPr>
                <w:rFonts w:hint="eastAsia" w:ascii="宋体" w:hAnsi="宋体" w:eastAsia="宋体" w:cs="宋体"/>
                <w:color w:val="auto"/>
                <w:sz w:val="24"/>
                <w:szCs w:val="24"/>
                <w:highlight w:val="none"/>
              </w:rPr>
              <w:t>投标文件封套上应载明的信息</w:t>
            </w:r>
          </w:p>
        </w:tc>
        <w:tc>
          <w:tcPr>
            <w:tcW w:w="3535" w:type="pct"/>
            <w:vAlign w:val="center"/>
          </w:tcPr>
          <w:p w14:paraId="39676C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（标注资信、技术、商务）</w:t>
            </w:r>
          </w:p>
          <w:p w14:paraId="1108F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投标人地址：</w:t>
            </w:r>
            <w:r>
              <w:rPr>
                <w:rFonts w:hint="eastAsia" w:ascii="宋体" w:hAnsi="宋体" w:eastAsia="宋体" w:cs="宋体"/>
                <w:color w:val="auto"/>
                <w:sz w:val="24"/>
                <w:szCs w:val="24"/>
                <w:highlight w:val="none"/>
                <w:u w:val="single"/>
              </w:rPr>
              <w:t xml:space="preserve">                    </w:t>
            </w:r>
          </w:p>
          <w:p w14:paraId="42C95C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p w14:paraId="7DAEAF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在</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年  月  日  时 分（开标时间）前不得开启</w:t>
            </w:r>
          </w:p>
        </w:tc>
      </w:tr>
      <w:tr w14:paraId="0759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5BD6B4DA">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907" w:type="pct"/>
            <w:vAlign w:val="center"/>
          </w:tcPr>
          <w:p w14:paraId="72292FA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535" w:type="pct"/>
            <w:vAlign w:val="center"/>
          </w:tcPr>
          <w:p w14:paraId="29592FD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u w:val="single"/>
              </w:rPr>
            </w:pPr>
            <w:r>
              <w:rPr>
                <w:rFonts w:hint="eastAsia" w:ascii="宋体" w:hAnsi="宋体" w:eastAsia="宋体"/>
                <w:b w:val="0"/>
                <w:bCs w:val="0"/>
                <w:color w:val="auto"/>
                <w:sz w:val="24"/>
                <w:highlight w:val="none"/>
              </w:rPr>
              <w:t>采购人审查</w:t>
            </w:r>
          </w:p>
        </w:tc>
      </w:tr>
      <w:tr w14:paraId="508B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B2B128E">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hint="default" w:ascii="宋体" w:hAnsi="宋体" w:eastAsia="宋体"/>
                <w:bCs/>
                <w:color w:val="auto"/>
                <w:kern w:val="2"/>
                <w:highlight w:val="none"/>
              </w:rPr>
              <w:t>.2</w:t>
            </w:r>
          </w:p>
        </w:tc>
        <w:tc>
          <w:tcPr>
            <w:tcW w:w="907" w:type="pct"/>
            <w:vAlign w:val="center"/>
          </w:tcPr>
          <w:p w14:paraId="5BBDAB0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535" w:type="pct"/>
            <w:vAlign w:val="center"/>
          </w:tcPr>
          <w:p w14:paraId="708C446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u w:val="none"/>
              </w:rPr>
              <w:t>综合评分法</w:t>
            </w:r>
          </w:p>
        </w:tc>
      </w:tr>
      <w:tr w14:paraId="312D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5AC4A26F">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907" w:type="pct"/>
            <w:vAlign w:val="center"/>
          </w:tcPr>
          <w:p w14:paraId="0C7AFC0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535" w:type="pct"/>
            <w:vAlign w:val="center"/>
          </w:tcPr>
          <w:p w14:paraId="11801A3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color w:val="auto"/>
                <w:sz w:val="24"/>
                <w:highlight w:val="none"/>
                <w:u w:val="single"/>
              </w:rPr>
            </w:pPr>
            <w:r>
              <w:rPr>
                <w:rFonts w:hint="eastAsia" w:ascii="宋体" w:hAnsi="宋体" w:eastAsia="宋体" w:cs="宋体"/>
                <w:b w:val="0"/>
                <w:bCs w:val="0"/>
                <w:color w:val="auto"/>
                <w:sz w:val="24"/>
                <w:szCs w:val="24"/>
                <w:highlight w:val="none"/>
                <w:lang w:val="en-US" w:eastAsia="zh-CN"/>
              </w:rPr>
              <w:t>评标委员会推荐3名中标候选人</w:t>
            </w:r>
          </w:p>
        </w:tc>
      </w:tr>
      <w:tr w14:paraId="7C4A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2A091FDE">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907" w:type="pct"/>
            <w:vAlign w:val="center"/>
          </w:tcPr>
          <w:p w14:paraId="307676B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535" w:type="pct"/>
            <w:vAlign w:val="center"/>
          </w:tcPr>
          <w:p w14:paraId="1164323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default" w:ascii="宋体" w:hAnsi="宋体" w:eastAsia="宋体"/>
                <w:b w:val="0"/>
                <w:color w:val="auto"/>
                <w:sz w:val="24"/>
                <w:highlight w:val="none"/>
                <w:lang w:val="en-US"/>
              </w:rPr>
            </w:pPr>
            <w:r>
              <w:rPr>
                <w:rFonts w:hint="eastAsia" w:ascii="宋体" w:hAnsi="宋体" w:eastAsia="宋体" w:cs="宋体"/>
                <w:b w:val="0"/>
                <w:bCs w:val="0"/>
                <w:color w:val="auto"/>
                <w:sz w:val="24"/>
                <w:szCs w:val="24"/>
                <w:highlight w:val="none"/>
                <w:lang w:val="en-US" w:eastAsia="zh-CN"/>
              </w:rPr>
              <w:t>采购人委托评标委员会确定</w:t>
            </w:r>
          </w:p>
        </w:tc>
      </w:tr>
      <w:tr w14:paraId="2E3D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1CDADC2E">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hint="default" w:ascii="宋体" w:hAnsi="宋体" w:eastAsia="宋体"/>
                <w:bCs/>
                <w:color w:val="auto"/>
                <w:kern w:val="2"/>
                <w:highlight w:val="none"/>
              </w:rPr>
              <w:t>.3</w:t>
            </w:r>
          </w:p>
        </w:tc>
        <w:tc>
          <w:tcPr>
            <w:tcW w:w="907" w:type="pct"/>
            <w:vAlign w:val="center"/>
          </w:tcPr>
          <w:p w14:paraId="06A26B7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535" w:type="pct"/>
            <w:vAlign w:val="center"/>
          </w:tcPr>
          <w:p w14:paraId="349053D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投标人自行在滁州市机电工程学校官网查看</w:t>
            </w:r>
          </w:p>
        </w:tc>
      </w:tr>
      <w:tr w14:paraId="0287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2E5128FF">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hint="default" w:ascii="宋体" w:hAnsi="宋体" w:eastAsia="宋体"/>
                <w:bCs/>
                <w:color w:val="auto"/>
                <w:kern w:val="2"/>
                <w:highlight w:val="none"/>
              </w:rPr>
              <w:t>.1</w:t>
            </w:r>
          </w:p>
        </w:tc>
        <w:tc>
          <w:tcPr>
            <w:tcW w:w="907" w:type="pct"/>
            <w:vAlign w:val="center"/>
          </w:tcPr>
          <w:p w14:paraId="7C3B475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535" w:type="pct"/>
            <w:vAlign w:val="center"/>
          </w:tcPr>
          <w:p w14:paraId="00A0F8E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书面 </w:t>
            </w:r>
            <w:r>
              <w:rPr>
                <w:rFonts w:hint="default" w:ascii="宋体" w:hAnsi="宋体" w:eastAsia="宋体" w:cs="宋体"/>
                <w:b w:val="0"/>
                <w:bCs w:val="0"/>
                <w:color w:val="auto"/>
                <w:sz w:val="24"/>
                <w:szCs w:val="24"/>
                <w:highlight w:val="none"/>
                <w:lang w:val="en-US" w:eastAsia="zh-CN"/>
              </w:rPr>
              <w:t xml:space="preserve">    </w:t>
            </w:r>
          </w:p>
        </w:tc>
      </w:tr>
      <w:tr w14:paraId="19EE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377E5777">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hint="default" w:ascii="宋体" w:hAnsi="宋体" w:eastAsia="宋体"/>
                <w:bCs/>
                <w:color w:val="auto"/>
                <w:kern w:val="2"/>
                <w:highlight w:val="none"/>
              </w:rPr>
              <w:t>.1</w:t>
            </w:r>
          </w:p>
        </w:tc>
        <w:tc>
          <w:tcPr>
            <w:tcW w:w="907" w:type="pct"/>
            <w:vAlign w:val="center"/>
          </w:tcPr>
          <w:p w14:paraId="7517464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535" w:type="pct"/>
            <w:vAlign w:val="center"/>
          </w:tcPr>
          <w:p w14:paraId="3E06C6A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default" w:asciiTheme="minorEastAsia" w:hAnsiTheme="minorEastAsia" w:eastAsiaTheme="minorEastAsia"/>
                <w:b w:val="0"/>
                <w:bCs w:val="0"/>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投标人自行在滁州市机电工程学校官网查看</w:t>
            </w:r>
          </w:p>
        </w:tc>
      </w:tr>
      <w:tr w14:paraId="3169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7" w:type="pct"/>
            <w:vAlign w:val="center"/>
          </w:tcPr>
          <w:p w14:paraId="2AB2D0C4">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hint="default" w:ascii="宋体" w:hAnsi="宋体" w:eastAsia="宋体"/>
                <w:bCs/>
                <w:color w:val="auto"/>
                <w:kern w:val="2"/>
                <w:highlight w:val="none"/>
              </w:rPr>
              <w:t>.1</w:t>
            </w:r>
          </w:p>
        </w:tc>
        <w:tc>
          <w:tcPr>
            <w:tcW w:w="907" w:type="pct"/>
            <w:vAlign w:val="center"/>
          </w:tcPr>
          <w:p w14:paraId="1B67911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履约保证金</w:t>
            </w:r>
          </w:p>
        </w:tc>
        <w:tc>
          <w:tcPr>
            <w:tcW w:w="3535" w:type="pct"/>
            <w:vAlign w:val="center"/>
          </w:tcPr>
          <w:p w14:paraId="48B96AB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bCs/>
                <w:color w:val="auto"/>
                <w:kern w:val="0"/>
                <w:sz w:val="24"/>
                <w:szCs w:val="24"/>
                <w:highlight w:val="none"/>
              </w:rPr>
            </w:pPr>
            <w:r>
              <w:rPr>
                <w:rFonts w:hint="eastAsia" w:ascii="宋体" w:hAnsi="宋体" w:eastAsia="宋体"/>
                <w:b w:val="0"/>
                <w:color w:val="auto"/>
                <w:sz w:val="24"/>
                <w:highlight w:val="none"/>
                <w:lang w:val="en-US" w:eastAsia="zh-CN"/>
              </w:rPr>
              <w:t>免收</w:t>
            </w:r>
          </w:p>
        </w:tc>
      </w:tr>
      <w:tr w14:paraId="7BB6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57" w:type="pct"/>
            <w:vAlign w:val="center"/>
          </w:tcPr>
          <w:p w14:paraId="7CECA674">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hint="default" w:ascii="宋体" w:hAnsi="宋体" w:eastAsia="宋体"/>
                <w:bCs/>
                <w:color w:val="auto"/>
                <w:kern w:val="2"/>
                <w:highlight w:val="none"/>
              </w:rPr>
              <w:t>.1</w:t>
            </w:r>
          </w:p>
        </w:tc>
        <w:tc>
          <w:tcPr>
            <w:tcW w:w="907" w:type="pct"/>
            <w:vAlign w:val="center"/>
          </w:tcPr>
          <w:p w14:paraId="70B1763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535" w:type="pct"/>
            <w:vAlign w:val="top"/>
          </w:tcPr>
          <w:p w14:paraId="22521B2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1F476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E52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12E72408">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hint="default" w:ascii="宋体" w:hAnsi="宋体" w:eastAsia="宋体"/>
                <w:bCs/>
                <w:color w:val="auto"/>
                <w:kern w:val="2"/>
                <w:highlight w:val="none"/>
              </w:rPr>
              <w:t>.1</w:t>
            </w:r>
          </w:p>
        </w:tc>
        <w:tc>
          <w:tcPr>
            <w:tcW w:w="907" w:type="pct"/>
            <w:vAlign w:val="center"/>
          </w:tcPr>
          <w:p w14:paraId="543F1B3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代理费及专家评审费</w:t>
            </w:r>
          </w:p>
        </w:tc>
        <w:tc>
          <w:tcPr>
            <w:tcW w:w="3535" w:type="pct"/>
            <w:vAlign w:val="center"/>
          </w:tcPr>
          <w:p w14:paraId="503366CA">
            <w:pPr>
              <w:keepNext w:val="0"/>
              <w:keepLines w:val="0"/>
              <w:pageBreakBefore w:val="0"/>
              <w:widowControl w:val="0"/>
              <w:suppressLineNumbers w:val="0"/>
              <w:kinsoku/>
              <w:wordWrap/>
              <w:overflowPunct/>
              <w:topLinePunct w:val="0"/>
              <w:autoSpaceDE/>
              <w:autoSpaceDN/>
              <w:bidi w:val="0"/>
              <w:adjustRightInd/>
              <w:snapToGrid/>
              <w:spacing w:before="39" w:beforeAutospacing="0" w:after="0" w:afterAutospacing="0" w:line="360" w:lineRule="auto"/>
              <w:ind w:left="0" w:right="0"/>
              <w:outlineLvl w:val="9"/>
              <w:rPr>
                <w:rFonts w:hint="default" w:ascii="宋体" w:hAnsi="宋体" w:eastAsia="宋体" w:cs="宋体"/>
                <w:color w:val="auto"/>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default" w:ascii="宋体" w:hAnsi="宋体" w:eastAsia="宋体" w:cs="宋体"/>
                <w:color w:val="auto"/>
                <w:spacing w:val="14"/>
                <w:sz w:val="24"/>
                <w:szCs w:val="24"/>
                <w:highlight w:val="none"/>
              </w:rPr>
              <w:t>中标人</w:t>
            </w:r>
          </w:p>
          <w:p w14:paraId="320AE677">
            <w:pPr>
              <w:keepNext w:val="0"/>
              <w:keepLines w:val="0"/>
              <w:pageBreakBefore w:val="0"/>
              <w:widowControl w:val="0"/>
              <w:suppressLineNumbers w:val="0"/>
              <w:kinsoku/>
              <w:wordWrap/>
              <w:overflowPunct/>
              <w:topLinePunct w:val="0"/>
              <w:autoSpaceDE/>
              <w:autoSpaceDN/>
              <w:bidi w:val="0"/>
              <w:adjustRightInd/>
              <w:snapToGrid/>
              <w:spacing w:before="24" w:beforeAutospacing="0" w:after="0" w:afterAutospacing="0" w:line="360" w:lineRule="auto"/>
              <w:ind w:left="0" w:right="0"/>
              <w:outlineLvl w:val="9"/>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现金或转账</w:t>
            </w:r>
          </w:p>
          <w:p w14:paraId="6071FB76">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sz w:val="24"/>
                <w:szCs w:val="24"/>
                <w:highlight w:val="none"/>
                <w:u w:val="single" w:color="auto"/>
                <w:lang w:val="en-US" w:eastAsia="zh-CN"/>
              </w:rPr>
              <w:t>代理费2000元</w:t>
            </w:r>
            <w:r>
              <w:rPr>
                <w:rFonts w:hint="default" w:ascii="宋体" w:hAnsi="宋体" w:eastAsia="宋体" w:cs="宋体"/>
                <w:b w:val="0"/>
                <w:bCs w:val="0"/>
                <w:color w:val="auto"/>
                <w:kern w:val="2"/>
                <w:sz w:val="24"/>
                <w:szCs w:val="24"/>
                <w:highlight w:val="none"/>
                <w:u w:val="single"/>
                <w:lang w:val="en-US" w:eastAsia="zh-CN" w:bidi="ar-SA"/>
              </w:rPr>
              <w:t>（</w:t>
            </w:r>
            <w:r>
              <w:rPr>
                <w:rFonts w:hint="eastAsia" w:ascii="宋体" w:hAnsi="宋体" w:eastAsia="宋体" w:cs="宋体"/>
                <w:b w:val="0"/>
                <w:bCs w:val="0"/>
                <w:color w:val="auto"/>
                <w:kern w:val="2"/>
                <w:sz w:val="24"/>
                <w:szCs w:val="24"/>
                <w:highlight w:val="none"/>
                <w:u w:val="single"/>
                <w:lang w:val="en-US" w:eastAsia="zh-CN" w:bidi="ar-SA"/>
              </w:rPr>
              <w:t>不含专家评审费，</w:t>
            </w:r>
            <w:r>
              <w:rPr>
                <w:rFonts w:hint="default" w:ascii="宋体" w:hAnsi="宋体" w:eastAsia="宋体" w:cs="宋体"/>
                <w:b w:val="0"/>
                <w:bCs w:val="0"/>
                <w:color w:val="auto"/>
                <w:kern w:val="2"/>
                <w:sz w:val="24"/>
                <w:szCs w:val="24"/>
                <w:highlight w:val="none"/>
                <w:u w:val="single"/>
                <w:lang w:val="en-US" w:eastAsia="zh-CN" w:bidi="ar-SA"/>
              </w:rPr>
              <w:t>评审费另计，以实际发生为准）</w:t>
            </w:r>
            <w:r>
              <w:rPr>
                <w:rFonts w:hint="eastAsia" w:ascii="宋体" w:hAnsi="宋体" w:eastAsia="宋体" w:cs="宋体"/>
                <w:b w:val="0"/>
                <w:bCs w:val="0"/>
                <w:color w:val="auto"/>
                <w:kern w:val="2"/>
                <w:sz w:val="24"/>
                <w:szCs w:val="24"/>
                <w:highlight w:val="none"/>
                <w:u w:val="single"/>
                <w:lang w:val="en-US" w:eastAsia="zh-CN" w:bidi="ar-SA"/>
              </w:rPr>
              <w:t xml:space="preserve"> </w:t>
            </w:r>
          </w:p>
        </w:tc>
      </w:tr>
      <w:tr w14:paraId="41FC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3499EDD">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907" w:type="pct"/>
            <w:vAlign w:val="center"/>
          </w:tcPr>
          <w:p w14:paraId="637839A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535" w:type="pct"/>
            <w:vAlign w:val="center"/>
          </w:tcPr>
          <w:p w14:paraId="27079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仿宋_GB2312"/>
                <w:b w:val="0"/>
                <w:bCs/>
                <w:color w:val="auto"/>
                <w:kern w:val="2"/>
                <w:sz w:val="24"/>
                <w:szCs w:val="22"/>
                <w:highlight w:val="none"/>
                <w:lang w:val="en-US" w:eastAsia="zh-CN" w:bidi="ar-SA"/>
              </w:rPr>
            </w:pPr>
            <w:r>
              <w:rPr>
                <w:rFonts w:hint="eastAsia" w:ascii="宋体" w:hAnsi="宋体" w:eastAsia="宋体"/>
                <w:b w:val="0"/>
                <w:color w:val="auto"/>
                <w:sz w:val="24"/>
                <w:szCs w:val="20"/>
                <w:highlight w:val="none"/>
              </w:rPr>
              <w:t>递交方式：</w:t>
            </w:r>
            <w:r>
              <w:rPr>
                <w:rFonts w:hint="eastAsia" w:ascii="宋体" w:hAnsi="宋体" w:eastAsia="宋体" w:cs="@仿宋_GB2312"/>
                <w:b w:val="0"/>
                <w:bCs/>
                <w:color w:val="auto"/>
                <w:kern w:val="2"/>
                <w:sz w:val="24"/>
                <w:szCs w:val="22"/>
                <w:highlight w:val="none"/>
                <w:lang w:val="en-US" w:eastAsia="zh-CN" w:bidi="ar-SA"/>
              </w:rPr>
              <w:t>投标人通过书面形式提出，一份质疑函只能针对一个项目提出质疑，且针对同一采购程序环节的质疑应当一次性提出。</w:t>
            </w:r>
          </w:p>
          <w:p w14:paraId="7920868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outlineLvl w:val="9"/>
              <w:rPr>
                <w:rFonts w:hint="default"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滁州市机电工程学校或安徽展荣项目管理有限公司</w:t>
            </w:r>
            <w:r>
              <w:rPr>
                <w:rFonts w:hint="default"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13955009393或15155030510</w:t>
            </w:r>
          </w:p>
          <w:p w14:paraId="0D4A3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szCs w:val="20"/>
                <w:highlight w:val="none"/>
              </w:rPr>
              <w:t>通讯地址：</w:t>
            </w:r>
            <w:r>
              <w:rPr>
                <w:rFonts w:hint="eastAsia" w:ascii="宋体" w:hAnsi="宋体" w:eastAsia="宋体"/>
                <w:b w:val="0"/>
                <w:color w:val="auto"/>
                <w:sz w:val="24"/>
                <w:szCs w:val="20"/>
                <w:highlight w:val="none"/>
                <w:u w:val="single"/>
                <w:lang w:val="en-US" w:eastAsia="zh-CN"/>
              </w:rPr>
              <w:t>安徽省滁州市丰乐大道2238号或</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滁州市世贸大厦A座17楼</w:t>
            </w:r>
          </w:p>
        </w:tc>
      </w:tr>
      <w:tr w14:paraId="25E9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4" w:type="pct"/>
            <w:gridSpan w:val="2"/>
            <w:vAlign w:val="center"/>
          </w:tcPr>
          <w:p w14:paraId="7072D252">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b w:val="0"/>
                <w:color w:val="auto"/>
                <w:sz w:val="24"/>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签字或盖章要求</w:t>
            </w:r>
          </w:p>
        </w:tc>
        <w:tc>
          <w:tcPr>
            <w:tcW w:w="3535" w:type="pct"/>
            <w:vAlign w:val="center"/>
          </w:tcPr>
          <w:p w14:paraId="06B01FE4">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outlineLvl w:val="9"/>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投标文件须按格式文件要求签字或盖章。</w:t>
            </w:r>
          </w:p>
          <w:p w14:paraId="18FE9858">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ascii="宋体" w:hAnsi="宋体" w:eastAsia="宋体"/>
                <w:b w:val="0"/>
                <w:color w:val="auto"/>
                <w:sz w:val="24"/>
                <w:szCs w:val="20"/>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否则经评标委员会一致认定后， 按照无效投标处理。</w:t>
            </w:r>
          </w:p>
        </w:tc>
      </w:tr>
      <w:tr w14:paraId="5C87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4" w:type="pct"/>
            <w:gridSpan w:val="2"/>
            <w:vAlign w:val="center"/>
          </w:tcPr>
          <w:p w14:paraId="5CB4E6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outlineLvl w:val="9"/>
              <w:rPr>
                <w:rFonts w:hint="eastAsia" w:ascii="宋体" w:hAnsi="宋体" w:eastAsia="宋体"/>
                <w:b w:val="0"/>
                <w:color w:val="auto"/>
                <w:sz w:val="24"/>
                <w:highlight w:val="none"/>
              </w:rPr>
            </w:pPr>
            <w:r>
              <w:rPr>
                <w:rFonts w:hint="eastAsia" w:ascii="宋体" w:hAnsi="宋体" w:eastAsia="宋体" w:cs="宋体"/>
                <w:b/>
                <w:bCs/>
                <w:color w:val="auto"/>
                <w:sz w:val="24"/>
                <w:szCs w:val="24"/>
                <w:highlight w:val="none"/>
              </w:rPr>
              <w:t>付款方式</w:t>
            </w:r>
          </w:p>
        </w:tc>
        <w:tc>
          <w:tcPr>
            <w:tcW w:w="3535" w:type="pct"/>
            <w:vAlign w:val="center"/>
          </w:tcPr>
          <w:p w14:paraId="20815F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szCs w:val="20"/>
                <w:highlight w:val="none"/>
              </w:rPr>
            </w:pPr>
            <w:r>
              <w:rPr>
                <w:rFonts w:hint="eastAsia" w:cs="@仿宋_GB2312" w:asciiTheme="minorEastAsia" w:hAnsiTheme="minorEastAsia" w:eastAsiaTheme="minorEastAsia"/>
                <w:b/>
                <w:bCs/>
                <w:color w:val="auto"/>
                <w:kern w:val="2"/>
                <w:sz w:val="24"/>
                <w:szCs w:val="24"/>
                <w:highlight w:val="none"/>
                <w:lang w:val="en-US" w:eastAsia="zh-CN" w:bidi="ar-SA"/>
              </w:rPr>
              <w:t>每半年支付一次，每半年服务期结束支付上半年的服务费用。</w:t>
            </w:r>
          </w:p>
        </w:tc>
      </w:tr>
      <w:tr w14:paraId="7AD9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4" w:type="pct"/>
            <w:gridSpan w:val="2"/>
            <w:vAlign w:val="center"/>
          </w:tcPr>
          <w:p w14:paraId="1C489C2A">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jc w:val="both"/>
              <w:outlineLvl w:val="9"/>
              <w:rPr>
                <w:rFonts w:hint="default" w:ascii="宋体" w:hAnsi="宋体" w:eastAsia="宋体"/>
                <w:bCs/>
                <w:color w:val="auto"/>
                <w:kern w:val="2"/>
                <w:highlight w:val="none"/>
                <w:lang w:val="en-US" w:eastAsia="zh-CN"/>
              </w:rPr>
            </w:pPr>
          </w:p>
          <w:p w14:paraId="67022D46">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outlineLvl w:val="9"/>
              <w:rPr>
                <w:rFonts w:hint="eastAsia" w:ascii="宋体" w:hAnsi="宋体" w:eastAsia="宋体" w:cs="宋体"/>
                <w:b/>
                <w:bCs/>
                <w:color w:val="auto"/>
                <w:sz w:val="24"/>
                <w:szCs w:val="24"/>
                <w:highlight w:val="none"/>
              </w:rPr>
            </w:pPr>
            <w:r>
              <w:rPr>
                <w:rFonts w:hint="eastAsia" w:ascii="宋体" w:hAnsi="宋体" w:eastAsia="宋体"/>
                <w:b w:val="0"/>
                <w:color w:val="auto"/>
                <w:sz w:val="24"/>
                <w:highlight w:val="none"/>
                <w:lang w:val="en-US" w:eastAsia="zh-CN"/>
              </w:rPr>
              <w:t>其他内容</w:t>
            </w:r>
          </w:p>
        </w:tc>
        <w:tc>
          <w:tcPr>
            <w:tcW w:w="3535" w:type="pct"/>
            <w:vAlign w:val="center"/>
          </w:tcPr>
          <w:p w14:paraId="6B64AA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构成本招标文件的各个组成文件应互为解释，互为说明；</w:t>
            </w:r>
          </w:p>
          <w:p w14:paraId="0D7134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0FC2F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57933C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hint="default"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、投标文件格式的先后顺序解释；</w:t>
            </w:r>
          </w:p>
          <w:p w14:paraId="18A8FBDD">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hint="default"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hint="default" w:cs="@仿宋_GB2312" w:asciiTheme="minorEastAsia" w:hAnsiTheme="minorEastAsia" w:eastAsiaTheme="minorEastAsia"/>
                <w:b w:val="0"/>
                <w:bCs/>
                <w:color w:val="auto"/>
                <w:kern w:val="2"/>
                <w:sz w:val="24"/>
                <w:szCs w:val="24"/>
                <w:highlight w:val="none"/>
                <w:lang w:val="en-US" w:eastAsia="zh-CN" w:bidi="ar-SA"/>
              </w:rPr>
              <w:t>人负责解释。</w:t>
            </w:r>
          </w:p>
        </w:tc>
      </w:tr>
    </w:tbl>
    <w:p w14:paraId="50BFF547">
      <w:pPr>
        <w:spacing w:line="360" w:lineRule="auto"/>
        <w:jc w:val="center"/>
        <w:outlineLvl w:val="9"/>
        <w:rPr>
          <w:rFonts w:asciiTheme="minorEastAsia" w:hAnsiTheme="minorEastAsia" w:eastAsiaTheme="minorEastAsia"/>
          <w:b/>
          <w:color w:val="auto"/>
          <w:sz w:val="24"/>
          <w:highlight w:val="none"/>
        </w:rPr>
      </w:pPr>
      <w:bookmarkStart w:id="4" w:name="_Toc14880"/>
      <w:bookmarkStart w:id="5" w:name="_Toc24882"/>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4"/>
      <w:bookmarkEnd w:id="5"/>
    </w:p>
    <w:p w14:paraId="15307A5F">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70147D5A">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.1采购人：是指依法开展采购活动的国家机关、事业单位、团体组织。</w:t>
      </w:r>
    </w:p>
    <w:p w14:paraId="2A1B0796">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766C949B">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.3采购监督管理部门：</w:t>
      </w:r>
      <w:r>
        <w:rPr>
          <w:rFonts w:hint="eastAsia" w:ascii="宋体" w:hAnsi="宋体" w:eastAsia="宋体"/>
          <w:color w:val="auto"/>
          <w:sz w:val="24"/>
          <w:highlight w:val="none"/>
        </w:rPr>
        <w:t>有关部门依法履行与采购活动有关的监督管理职责。</w:t>
      </w:r>
    </w:p>
    <w:p w14:paraId="37F00CD5">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分支机构不得参加采购活动，但银行、保险、石油石化、电力、电信等特殊行业除外。</w:t>
      </w:r>
      <w:r>
        <w:rPr>
          <w:rFonts w:ascii="宋体" w:hAnsi="宋体" w:eastAsia="宋体"/>
          <w:color w:val="auto"/>
          <w:sz w:val="24"/>
          <w:highlight w:val="none"/>
        </w:rPr>
        <w:t>本项目的投标人须满足以下条件：</w:t>
      </w:r>
    </w:p>
    <w:p w14:paraId="5052B5B8">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具备供应商条件的规定，遵守本项目采购人本级和上级财政部门采购的有关规定。</w:t>
      </w:r>
    </w:p>
    <w:p w14:paraId="5CCB1E77">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0D16520B">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6AFFDA94">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31DF6E73">
      <w:pPr>
        <w:spacing w:line="360" w:lineRule="auto"/>
        <w:ind w:firstLine="437"/>
        <w:outlineLvl w:val="9"/>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1DD3B137">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5A5D4653">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10B39BDE">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2685F645">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68CB8267">
      <w:pPr>
        <w:spacing w:line="360" w:lineRule="auto"/>
        <w:ind w:firstLine="435"/>
        <w:outlineLvl w:val="9"/>
        <w:rPr>
          <w:rFonts w:hint="eastAsia" w:asciiTheme="minorEastAsia" w:hAnsiTheme="minorEastAsia" w:eastAsiaTheme="minorEastAsia"/>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7742902B">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5.招标文件构成</w:t>
      </w:r>
    </w:p>
    <w:p w14:paraId="242CBDE5">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68CF2928">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75C338F4">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6537BA50">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325FE5A8">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2A66463B">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采购合同</w:t>
      </w:r>
    </w:p>
    <w:p w14:paraId="22753CF0">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71F1303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1452824A">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55E63C6F">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投标人应认真阅读招标文件所有的事项、格式、条款和技术规范等。</w:t>
      </w:r>
    </w:p>
    <w:p w14:paraId="2D7ED896">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6.招标文件的澄清与修改</w:t>
      </w:r>
    </w:p>
    <w:p w14:paraId="557F3317">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6.1投标人如对招标文件内容有疑问，可在投标人须知前附表规定的时间及方式提出疑问提交给采购代理机构邮箱。</w:t>
      </w:r>
    </w:p>
    <w:p w14:paraId="7E48B3C0">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6.2采购人可主动地或在答复投标人提出的询问时对招标文件进行澄清与修改。采购代理机构将在滁州市机电工程学校官网以发布更正公告的方式，澄清或修改招标文件，更正公告的内容作为招标文件的组成部分，对投标人起约束作用。投标人应主动上网查询。采购代理机构不承担投标人未及时关注相关信息引发的相关责任。</w:t>
      </w:r>
    </w:p>
    <w:p w14:paraId="752D8299">
      <w:pPr>
        <w:spacing w:line="360" w:lineRule="auto"/>
        <w:ind w:firstLine="437"/>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2152342">
      <w:pPr>
        <w:spacing w:line="360" w:lineRule="auto"/>
        <w:ind w:firstLine="437"/>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6.4对于没有提出疑问又参与了本项目投标的投标人将被视为完全认同本招标文件（含更正公告的内容）。</w:t>
      </w:r>
    </w:p>
    <w:p w14:paraId="41E0B41E">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7.投标范围及投标文件中标准和计量单位的使用</w:t>
      </w:r>
    </w:p>
    <w:p w14:paraId="7CF8116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4FF3314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7D3CD275">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投标人所投货物及伴随的服务均应符合国家强制性标准。</w:t>
      </w:r>
    </w:p>
    <w:p w14:paraId="427FC3A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0189C2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450A2AF8">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5A11D808">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w:t>
      </w:r>
      <w:r>
        <w:rPr>
          <w:rFonts w:hint="eastAsia" w:asciiTheme="minorEastAsia" w:hAnsiTheme="minorEastAsia" w:eastAsiaTheme="minorEastAsia"/>
          <w:color w:val="auto"/>
          <w:sz w:val="24"/>
          <w:highlight w:val="none"/>
          <w:lang w:val="en-US" w:eastAsia="zh-CN"/>
        </w:rPr>
        <w:t>按照</w:t>
      </w:r>
      <w:r>
        <w:rPr>
          <w:rFonts w:asciiTheme="minorEastAsia" w:hAnsiTheme="minorEastAsia" w:eastAsiaTheme="minorEastAsia"/>
          <w:color w:val="auto"/>
          <w:sz w:val="24"/>
          <w:highlight w:val="none"/>
        </w:rPr>
        <w:t>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44781BC0">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r>
        <w:rPr>
          <w:rFonts w:hint="eastAsia" w:asciiTheme="minorEastAsia" w:hAnsiTheme="minorEastAsia" w:eastAsiaTheme="minorEastAsia"/>
          <w:color w:val="auto"/>
          <w:sz w:val="24"/>
          <w:highlight w:val="none"/>
          <w:lang w:val="en-US" w:eastAsia="zh-CN"/>
        </w:rPr>
        <w:t>等。</w:t>
      </w:r>
    </w:p>
    <w:p w14:paraId="004FEE4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38DCE896">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7944341E">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450A3C1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1C389C4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480119AE">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7DCB56D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288D25D6">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3B366C3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6DDAE298">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593FE3A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6F3EDDC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1FA125C7">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CD857ED">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12.投标文件</w:t>
      </w:r>
    </w:p>
    <w:p w14:paraId="4EF07E76">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12.1投标文件份数</w:t>
      </w:r>
    </w:p>
    <w:p w14:paraId="5440D4EF">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12.1.1投标文件份数要求见投标人须知前附表规定。</w:t>
      </w:r>
    </w:p>
    <w:p w14:paraId="732EF492">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12.2投标文件装订</w:t>
      </w:r>
    </w:p>
    <w:p w14:paraId="473E0CFD">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12.1.1投标文件应按A4纸大小进行装订，对于较大图、表，可采用A3纸，但需要按A4纸大小进行折叠、装订，资信证明文件、技术标、商务标应当分别装订。投标文件的正本与副本应分别装订成册,具体装订要求见投标人须知前附表规定。</w:t>
      </w:r>
    </w:p>
    <w:p w14:paraId="095D2ABD">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12.3</w:t>
      </w:r>
      <w:r>
        <w:rPr>
          <w:rFonts w:hint="eastAsia" w:ascii="宋体" w:hAnsi="宋体" w:eastAsia="宋体" w:cs="@仿宋_GB2312"/>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投标文件的密封和标记</w:t>
      </w:r>
    </w:p>
    <w:p w14:paraId="0089743D">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12.3.1 投标文件应进行包装、加贴封条，并在封套的封口处加盖投标人单位章。</w:t>
      </w:r>
    </w:p>
    <w:p w14:paraId="64DCB11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12.3.2 投标文件封套上应写明的内容及具体密封要求见投标人须知前附表。</w:t>
      </w:r>
    </w:p>
    <w:p w14:paraId="00DF4B86">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12.3.未按本章第12.3.1项或12.3.2项要求密封和加写标记的投标文件，采购人应予拒收。</w:t>
      </w:r>
    </w:p>
    <w:p w14:paraId="05102813">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12</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4投标文件的递交、修改与撤回</w:t>
      </w:r>
    </w:p>
    <w:p w14:paraId="55160CE8">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12.2.1投标人应当在招标公告规定的投标截止时间前递交投标文件。</w:t>
      </w:r>
    </w:p>
    <w:p w14:paraId="2623DEAD">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12.2.2投标人应当在投标截止时间前完成投标文件的递交，并可以补充、修改或者撤回投标文件。投标截止时间前未完成投标文件递交的，视为撤回投标文件。未按规定投标截止时间后送达的投标文件，应当拒收。</w:t>
      </w:r>
    </w:p>
    <w:p w14:paraId="2B6D46C3">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12.2.3投标人对投标文件的补充、修改，应按本须知第12.1条、第12.2条和第12.3条有关规定密封、标记和提交，并在投标文件密封袋上清楚标明“补充”、“修改”字样。</w:t>
      </w:r>
    </w:p>
    <w:p w14:paraId="0879B98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12.2.4</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在投标截止时间之后，投标人不得补充、修改投标文件。</w:t>
      </w:r>
    </w:p>
    <w:p w14:paraId="2AB738B7">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12.2.5</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投标截止时间之后，投标文件不得撤回；如果撤回的，投标保证金不予退还。</w:t>
      </w:r>
    </w:p>
    <w:p w14:paraId="68AD784C">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13</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开标</w:t>
      </w:r>
    </w:p>
    <w:p w14:paraId="4B9382B5">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r>
        <w:rPr>
          <w:rFonts w:hint="eastAsia" w:ascii="宋体" w:hAnsi="宋体" w:eastAsia="宋体" w:cs="@仿宋_GB2312"/>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1开标时，各投标人代表对各投标文件进行密封检查。</w:t>
      </w:r>
      <w:r>
        <w:rPr>
          <w:rFonts w:hint="eastAsia" w:ascii="宋体" w:hAnsi="宋体" w:eastAsia="宋体" w:cs="宋体"/>
          <w:b/>
          <w:bCs/>
          <w:color w:val="auto"/>
          <w:kern w:val="2"/>
          <w:sz w:val="24"/>
          <w:szCs w:val="24"/>
          <w:highlight w:val="none"/>
          <w:lang w:val="en-US" w:eastAsia="zh-CN" w:bidi="ar"/>
        </w:rPr>
        <w:t>法定代表人参加开标会议，应携带本人身份证；委托代理人参加开标会议应携带法定代表人授权书和本人身份证。</w:t>
      </w:r>
    </w:p>
    <w:p w14:paraId="3EB4F779">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r>
        <w:rPr>
          <w:rFonts w:hint="eastAsia" w:ascii="宋体" w:hAnsi="宋体" w:eastAsia="宋体" w:cs="@仿宋_GB2312"/>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2开标时，采购代理机构公布开标结果，公布内容包括投标人名称、投标价格及招标文件规定的内容。</w:t>
      </w:r>
    </w:p>
    <w:p w14:paraId="48E0B11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13.3采购人或采购代理机构将对开标过程进行记录，由参加开标的各投标人代表和相关工作人员签字确认，并存档备查。</w:t>
      </w:r>
    </w:p>
    <w:p w14:paraId="1F0A60B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投标人未派代表参加开标的，视同投标人认可开标结果。</w:t>
      </w:r>
    </w:p>
    <w:p w14:paraId="7BEFD0B6">
      <w:pPr>
        <w:keepNext w:val="0"/>
        <w:keepLines w:val="0"/>
        <w:widowControl w:val="0"/>
        <w:suppressLineNumbers w:val="0"/>
        <w:spacing w:before="0" w:beforeAutospacing="0" w:after="0" w:afterAutospacing="0"/>
        <w:ind w:left="0" w:right="0"/>
        <w:jc w:val="both"/>
        <w:outlineLvl w:val="9"/>
        <w:rPr>
          <w:color w:val="auto"/>
          <w:highlight w:val="none"/>
        </w:rPr>
      </w:pPr>
      <w:r>
        <w:rPr>
          <w:rFonts w:hint="eastAsia" w:ascii="宋体" w:hAnsi="宋体" w:eastAsia="宋体" w:cs="宋体"/>
          <w:color w:val="auto"/>
          <w:kern w:val="2"/>
          <w:sz w:val="24"/>
          <w:szCs w:val="24"/>
          <w:highlight w:val="none"/>
          <w:lang w:val="en-US" w:eastAsia="zh-CN" w:bidi="ar"/>
        </w:rPr>
        <w:t>13.4投标人代表对开标过程和开标记录有疑义，以及认为采购人、采购代理机构相关工作人员有需要回避的情形的，应当场提出询问或者回避申请。</w:t>
      </w:r>
    </w:p>
    <w:p w14:paraId="561C91E0">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w:t>
      </w:r>
    </w:p>
    <w:p w14:paraId="175F67BB">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3FECE294">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014C24BF">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15.1符合性审查是指依据招标文件的规定，从投标文件的有效性和完整性对招标文件的响应程度进行审查，以确定是否对招标文件的实质性要求做出响应。</w:t>
      </w:r>
    </w:p>
    <w:p w14:paraId="6E550632">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15.2投标文件的澄清</w:t>
      </w:r>
    </w:p>
    <w:p w14:paraId="287259F1">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76AC5923">
      <w:pPr>
        <w:spacing w:line="360" w:lineRule="auto"/>
        <w:ind w:firstLine="437"/>
        <w:outlineLvl w:val="9"/>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投标人未派代表参加开标的或投标人授权代表联系不上等情形而无法接受评标委员会询标的，投标人自行承担相关风险。</w:t>
      </w:r>
    </w:p>
    <w:p w14:paraId="34EEB155">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15.2.2投标人的澄清、说明或补正将作为投标文件的一部分。</w:t>
      </w:r>
    </w:p>
    <w:p w14:paraId="7BC4C169">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15.2.3评标委员会对投标人提交的澄清、说明或补正有疑问的，可以要求投标人进一步澄清、说明或补正，直至满足评标委员会的要求。</w:t>
      </w:r>
    </w:p>
    <w:p w14:paraId="776A9164">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15.3投标文件报价出现前后不一致的，按照下列规定修正：</w:t>
      </w:r>
    </w:p>
    <w:p w14:paraId="10258F87">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（1）投标文件中开标一览表内容与投标文件中相应内容不一致的，以开标一览表为准；</w:t>
      </w:r>
    </w:p>
    <w:p w14:paraId="71D08026">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（2）大写金额和小写金额不一致的，以大写金额为准；</w:t>
      </w:r>
    </w:p>
    <w:p w14:paraId="72909B4D">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（3）单价金额小数点或者百分比有明显错位的，以开标一览表的总价为准，并修改单价；</w:t>
      </w:r>
    </w:p>
    <w:p w14:paraId="458618D6">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（4）总价金额与按单价汇总金额不一致的，以单价金额计算结果为准。</w:t>
      </w:r>
    </w:p>
    <w:p w14:paraId="2A1379FB">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同时出现两种以上不一致的，按照前款规定的顺序修正。修正后的报价按照第15.4条的规定经投标人确认后产生约束力，投标人不确认的，其投标将被认定为</w:t>
      </w:r>
      <w:r>
        <w:rPr>
          <w:rFonts w:hint="eastAsia" w:asciiTheme="minorEastAsia" w:hAnsiTheme="minorEastAsia" w:eastAsiaTheme="minorEastAsia"/>
          <w:b/>
          <w:bCs/>
          <w:color w:val="auto"/>
          <w:sz w:val="24"/>
          <w:highlight w:val="none"/>
          <w:lang w:val="en-US" w:eastAsia="zh-CN"/>
        </w:rPr>
        <w:t>投标无效</w:t>
      </w:r>
      <w:r>
        <w:rPr>
          <w:rFonts w:hint="eastAsia" w:asciiTheme="minorEastAsia" w:hAnsiTheme="minorEastAsia" w:eastAsiaTheme="minorEastAsia"/>
          <w:color w:val="auto"/>
          <w:sz w:val="24"/>
          <w:highlight w:val="none"/>
          <w:lang w:val="en-US" w:eastAsia="zh-CN"/>
        </w:rPr>
        <w:t>。</w:t>
      </w:r>
    </w:p>
    <w:p w14:paraId="1C38EB3D">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对不同文字文本投标文件的解释发生异议的，以中文文本为准。</w:t>
      </w:r>
    </w:p>
    <w:p w14:paraId="47A2F2E1">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582F5329">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0945D4B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1870AE18">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w:t>
      </w:r>
      <w:r>
        <w:rPr>
          <w:rFonts w:hint="eastAsia" w:asciiTheme="minorEastAsia" w:hAnsiTheme="minorEastAsia" w:eastAsiaTheme="minorEastAsia"/>
          <w:color w:val="auto"/>
          <w:sz w:val="24"/>
          <w:highlight w:val="none"/>
          <w:lang w:val="en-US" w:eastAsia="zh-CN"/>
        </w:rPr>
        <w:t>加盖投标人公章的复印件</w:t>
      </w:r>
      <w:r>
        <w:rPr>
          <w:rFonts w:hint="eastAsia" w:asciiTheme="minorEastAsia" w:hAnsiTheme="minorEastAsia" w:eastAsiaTheme="minorEastAsia"/>
          <w:color w:val="auto"/>
          <w:sz w:val="24"/>
          <w:highlight w:val="none"/>
        </w:rPr>
        <w:t>，评标委员会视同其未提供。</w:t>
      </w:r>
    </w:p>
    <w:p w14:paraId="3516B0F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72714A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7D4978C7">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108AC58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3960F8A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73201D7F">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48B97F25">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2C0BE6D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830B33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3466D7C8">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6BD7ED47">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618C205A">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1E1FC4C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28A37E38">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01782831">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15D283B2">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3B16ADE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54E2139E">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3A7C52BA">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6F283EE0">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auto"/>
          <w:kern w:val="2"/>
          <w:sz w:val="24"/>
          <w:szCs w:val="24"/>
          <w:highlight w:val="none"/>
          <w:u w:val="none"/>
          <w:lang w:val="en-US" w:eastAsia="zh-CN" w:bidi="ar-SA"/>
        </w:rPr>
        <w:t>采购监督管理部门</w:t>
      </w:r>
      <w:r>
        <w:rPr>
          <w:rFonts w:hint="eastAsia" w:asciiTheme="minorEastAsia" w:hAnsiTheme="minorEastAsia" w:eastAsiaTheme="minorEastAsia"/>
          <w:color w:val="auto"/>
          <w:sz w:val="24"/>
          <w:highlight w:val="none"/>
        </w:rPr>
        <w:t>批准。</w:t>
      </w:r>
    </w:p>
    <w:p w14:paraId="1A738F05">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707D8BDA">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6B56C080">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3FB5611B">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3527DDA4">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534CC528">
      <w:pPr>
        <w:spacing w:line="360" w:lineRule="auto"/>
        <w:ind w:firstLine="437"/>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71BACCFE">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2CAECDB1">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708E640F">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C65CB75">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4FB0FFF0">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4DD43CEA">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22</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编写评标报告</w:t>
      </w:r>
    </w:p>
    <w:p w14:paraId="76EFFDA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52E88DF">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23</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中标结果公告</w:t>
      </w:r>
    </w:p>
    <w:p w14:paraId="5F3C6AF0">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r>
        <w:rPr>
          <w:rFonts w:hint="eastAsia" w:ascii="宋体" w:hAnsi="宋体" w:eastAsia="宋体" w:cs="@仿宋_GB2312"/>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除</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规定由评标委员会直接确定中标人外，在评标结束后</w:t>
      </w:r>
      <w:r>
        <w:rPr>
          <w:rFonts w:hint="eastAsia" w:ascii="宋体" w:hAnsi="宋体" w:eastAsia="宋体" w:cs="@仿宋_GB2312"/>
          <w:color w:val="auto"/>
          <w:kern w:val="2"/>
          <w:sz w:val="24"/>
          <w:szCs w:val="24"/>
          <w:highlight w:val="none"/>
          <w:lang w:val="en-US" w:eastAsia="zh-CN" w:bidi="ar"/>
        </w:rPr>
        <w:t>2个工作日内</w:t>
      </w:r>
      <w:r>
        <w:rPr>
          <w:rFonts w:hint="eastAsia" w:ascii="宋体" w:hAnsi="宋体" w:eastAsia="宋体" w:cs="宋体"/>
          <w:color w:val="auto"/>
          <w:kern w:val="2"/>
          <w:sz w:val="24"/>
          <w:szCs w:val="24"/>
          <w:highlight w:val="none"/>
          <w:lang w:val="en-US" w:eastAsia="zh-CN" w:bidi="ar"/>
        </w:rPr>
        <w:t>，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82FD96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自中标人确定之日起2个工作日内，采购人将在滁州市机电工程学校官网（http://www.cztc.edu.cn/）上发布中标结果公告。</w:t>
      </w:r>
    </w:p>
    <w:p w14:paraId="405E6582">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23.3中标结果公告内容应当包括采购人及其委托的采购代理机构的名称、地址、联系方式，项目名称和项目编号，中标人名称、地址和中标金额，主要中标标的</w:t>
      </w:r>
      <w:r>
        <w:rPr>
          <w:rFonts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val="en-US" w:eastAsia="zh-CN"/>
        </w:rPr>
        <w:t>品牌、</w:t>
      </w:r>
      <w:r>
        <w:rPr>
          <w:rFonts w:asciiTheme="minorEastAsia" w:hAnsiTheme="minorEastAsia" w:eastAsiaTheme="minorEastAsia"/>
          <w:color w:val="auto"/>
          <w:sz w:val="24"/>
          <w:highlight w:val="none"/>
        </w:rPr>
        <w:t>规格型号、数量、单价</w:t>
      </w:r>
      <w:r>
        <w:rPr>
          <w:rFonts w:hint="eastAsia" w:ascii="宋体" w:hAnsi="宋体" w:eastAsia="宋体" w:cs="宋体"/>
          <w:color w:val="auto"/>
          <w:kern w:val="2"/>
          <w:sz w:val="24"/>
          <w:szCs w:val="24"/>
          <w:highlight w:val="none"/>
          <w:lang w:val="en-US" w:eastAsia="zh-CN" w:bidi="ar"/>
        </w:rPr>
        <w:t>，中标公告期限以及投标人须知前附表中约定进行公告的内容。中标公告期限为</w:t>
      </w:r>
      <w:r>
        <w:rPr>
          <w:rFonts w:hint="eastAsia" w:ascii="宋体" w:hAnsi="宋体" w:eastAsia="宋体" w:cs="@仿宋_GB2312"/>
          <w:color w:val="auto"/>
          <w:kern w:val="2"/>
          <w:sz w:val="24"/>
          <w:szCs w:val="24"/>
          <w:highlight w:val="none"/>
          <w:lang w:val="en-US" w:eastAsia="zh-CN" w:bidi="ar"/>
        </w:rPr>
        <w:t>1个工作日。</w:t>
      </w:r>
    </w:p>
    <w:p w14:paraId="18A0D19E">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24</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中标通知书</w:t>
      </w:r>
    </w:p>
    <w:p w14:paraId="0ED8DE87">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仿宋_GB2312"/>
          <w:color w:val="auto"/>
          <w:kern w:val="2"/>
          <w:sz w:val="24"/>
          <w:szCs w:val="24"/>
          <w:highlight w:val="none"/>
          <w:lang w:val="en-US" w:eastAsia="zh-CN" w:bidi="ar"/>
        </w:rPr>
        <w:t>.1采购代理机构</w:t>
      </w:r>
      <w:r>
        <w:rPr>
          <w:rFonts w:hint="eastAsia" w:ascii="宋体" w:hAnsi="宋体" w:eastAsia="宋体" w:cs="宋体"/>
          <w:color w:val="auto"/>
          <w:kern w:val="2"/>
          <w:sz w:val="24"/>
          <w:szCs w:val="24"/>
          <w:highlight w:val="none"/>
          <w:lang w:val="en-US" w:eastAsia="zh-CN" w:bidi="ar"/>
        </w:rPr>
        <w:t>发布中标结果公告</w:t>
      </w:r>
      <w:r>
        <w:rPr>
          <w:rFonts w:hint="eastAsia" w:ascii="宋体" w:hAnsi="宋体" w:eastAsia="宋体" w:cs="宋体"/>
          <w:iCs/>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lang w:val="en-US" w:eastAsia="zh-CN" w:bidi="ar"/>
        </w:rPr>
        <w:t>同时以</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规定的形式向中标人发出中标通知书。</w:t>
      </w:r>
    </w:p>
    <w:p w14:paraId="1382BC45">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仿宋_GB2312"/>
          <w:color w:val="auto"/>
          <w:kern w:val="2"/>
          <w:sz w:val="24"/>
          <w:szCs w:val="24"/>
          <w:highlight w:val="none"/>
          <w:lang w:val="en-US" w:eastAsia="zh-CN" w:bidi="ar"/>
        </w:rPr>
        <w:t>.2中标通知书对采购人和中标</w:t>
      </w:r>
      <w:r>
        <w:rPr>
          <w:rFonts w:hint="eastAsia" w:ascii="宋体" w:hAnsi="宋体" w:eastAsia="宋体" w:cs="宋体"/>
          <w:color w:val="auto"/>
          <w:kern w:val="2"/>
          <w:sz w:val="24"/>
          <w:szCs w:val="24"/>
          <w:highlight w:val="none"/>
          <w:lang w:val="en-US" w:eastAsia="zh-CN" w:bidi="ar"/>
        </w:rPr>
        <w:t>人具有同等法律效力。中标通知书发出以后，采购人改变中标结果或者中标人放弃中标，应当承担相应的法律责任。</w:t>
      </w:r>
    </w:p>
    <w:p w14:paraId="386D1F79">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仿宋_GB2312"/>
          <w:color w:val="auto"/>
          <w:kern w:val="2"/>
          <w:sz w:val="24"/>
          <w:szCs w:val="24"/>
          <w:highlight w:val="none"/>
          <w:lang w:val="en-US" w:eastAsia="zh-CN" w:bidi="ar"/>
        </w:rPr>
        <w:t>.3中标通知书是</w:t>
      </w:r>
      <w:r>
        <w:rPr>
          <w:rFonts w:hint="eastAsia" w:ascii="宋体" w:hAnsi="宋体" w:eastAsia="宋体" w:cs="宋体"/>
          <w:color w:val="auto"/>
          <w:kern w:val="2"/>
          <w:sz w:val="24"/>
          <w:szCs w:val="24"/>
          <w:highlight w:val="none"/>
          <w:lang w:val="en-US" w:eastAsia="zh-CN" w:bidi="ar"/>
        </w:rPr>
        <w:t>合同的组成部分。</w:t>
      </w:r>
    </w:p>
    <w:p w14:paraId="57AD1651">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25</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告知招标结果</w:t>
      </w:r>
    </w:p>
    <w:p w14:paraId="3E0DC2E4">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w:t>
      </w:r>
      <w:r>
        <w:rPr>
          <w:rFonts w:hint="eastAsia" w:ascii="宋体" w:hAnsi="宋体" w:eastAsia="宋体" w:cs="@仿宋_GB2312"/>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在公告中标结果的同时，采购代理机构同时以</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规定的形式告知未通过资格审查的投标人未通过的原因；采用综合评分法评审的，还将告知未中标人本人的评审得分和排序。</w:t>
      </w:r>
    </w:p>
    <w:p w14:paraId="52D52BD3">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26</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履约保证金（本项目不采用）</w:t>
      </w:r>
    </w:p>
    <w:p w14:paraId="01F55A03">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26.1中标人应按照</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规定缴纳履约保证金。</w:t>
      </w:r>
    </w:p>
    <w:p w14:paraId="3C4697BA">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w:t>
      </w: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如果中标人没有按照上述履约保证金的规定执行，将视为放弃中标资格。在此情况下，采购人可确定下一中标候选人为中标人，也可以重新开展采购活动。</w:t>
      </w:r>
    </w:p>
    <w:p w14:paraId="6ADD1DB9">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27</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签订合同</w:t>
      </w:r>
    </w:p>
    <w:p w14:paraId="31EEB0A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27.1采购人与中标人应当按照</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规定的时间内完成政府采购合同签订及合同公告。</w:t>
      </w:r>
    </w:p>
    <w:p w14:paraId="33983249">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27.2招标文件、中标人的投标文件及其澄清文件等，均为签订合同的依据。</w:t>
      </w:r>
    </w:p>
    <w:p w14:paraId="48485386">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27.3中标人拒绝与采购人签订合同的，采购人可以按照评审报告推荐的中标候选人名单排序，确定下一中标候选人为中标人，也可以重新开展采购活动。</w:t>
      </w:r>
    </w:p>
    <w:p w14:paraId="6A3398B4">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28</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代理费用</w:t>
      </w:r>
    </w:p>
    <w:p w14:paraId="0D15334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w:t>
      </w:r>
      <w:r>
        <w:rPr>
          <w:rFonts w:hint="eastAsia" w:ascii="宋体" w:hAnsi="宋体" w:eastAsia="宋体" w:cs="@仿宋_GB2312"/>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本项目代理费用的收取按</w:t>
      </w:r>
      <w:r>
        <w:rPr>
          <w:rFonts w:hint="eastAsia" w:ascii="宋体" w:hAnsi="宋体" w:eastAsia="宋体" w:cs="宋体"/>
          <w:color w:val="auto"/>
          <w:kern w:val="2"/>
          <w:sz w:val="24"/>
          <w:szCs w:val="24"/>
          <w:highlight w:val="none"/>
          <w:u w:val="single"/>
          <w:lang w:val="en-US" w:eastAsia="zh-CN" w:bidi="ar"/>
        </w:rPr>
        <w:t>投标人须知前附表的</w:t>
      </w:r>
      <w:r>
        <w:rPr>
          <w:rFonts w:hint="eastAsia" w:ascii="宋体" w:hAnsi="宋体" w:eastAsia="宋体" w:cs="宋体"/>
          <w:color w:val="auto"/>
          <w:kern w:val="2"/>
          <w:sz w:val="24"/>
          <w:szCs w:val="24"/>
          <w:highlight w:val="none"/>
          <w:lang w:val="en-US" w:eastAsia="zh-CN" w:bidi="ar"/>
        </w:rPr>
        <w:t>规定执行。</w:t>
      </w:r>
    </w:p>
    <w:p w14:paraId="1EB490A4">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29.廉洁自律规定</w:t>
      </w:r>
    </w:p>
    <w:p w14:paraId="24A1BF33">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29.1采购代理机构工作人员不得以不正当手段获取政府采购代理业务，不得与采购人、供应商恶意串通。</w:t>
      </w:r>
    </w:p>
    <w:p w14:paraId="500631D1">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w:t>
      </w: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采购代理机构工作人员不得接受采购人或者供应商组织的宴请、旅游、娱乐，不得收受礼品、现金、有价证券等，不得向采购人或者供应商报销应当由个人承担的费用。</w:t>
      </w:r>
    </w:p>
    <w:p w14:paraId="3112B2AE">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30.人员回避</w:t>
      </w:r>
    </w:p>
    <w:p w14:paraId="3020C464">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default" w:ascii="仿宋_GB2312" w:hAnsi="宋体" w:eastAsia="仿宋_GB2312"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投标人认为采购人员及其相关人员有法律法规所列与其他供应商有利害关系的，可以向采购人或采购代理机构书面提出回避申请，并说明理由。</w:t>
      </w:r>
    </w:p>
    <w:p w14:paraId="69675D4A">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31</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质疑的提出与接收</w:t>
      </w:r>
    </w:p>
    <w:p w14:paraId="646F6CD2">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31.1投标人认为招标文件、招标过程和中标结果使自己的权益受到损害的，可以在知道或者应知其权益受到损害之日起七个工作日内，以书面形式向采购人或其委托的采购代理机构提出质疑。</w:t>
      </w:r>
    </w:p>
    <w:p w14:paraId="23897188">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27879432">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31.3采购代理机构质疑函接收部门、联系电话和通讯地址，见</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w:t>
      </w:r>
    </w:p>
    <w:p w14:paraId="6076C049">
      <w:pPr>
        <w:widowControl/>
        <w:jc w:val="left"/>
        <w:outlineLvl w:val="9"/>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99AC9E3">
      <w:pPr>
        <w:spacing w:line="360" w:lineRule="auto"/>
        <w:jc w:val="center"/>
        <w:outlineLvl w:val="0"/>
        <w:rPr>
          <w:rFonts w:hint="eastAsia" w:asciiTheme="minorEastAsia" w:hAnsiTheme="minorEastAsia" w:eastAsiaTheme="minorEastAsia"/>
          <w:b/>
          <w:color w:val="auto"/>
          <w:sz w:val="28"/>
          <w:highlight w:val="none"/>
          <w:lang w:eastAsia="zh-CN"/>
        </w:rPr>
      </w:pPr>
      <w:bookmarkStart w:id="6" w:name="_Toc23609"/>
      <w:r>
        <w:rPr>
          <w:rFonts w:hint="eastAsia" w:asciiTheme="minorEastAsia" w:hAnsiTheme="minorEastAsia" w:eastAsiaTheme="minorEastAsia"/>
          <w:b/>
          <w:color w:val="auto"/>
          <w:sz w:val="28"/>
          <w:highlight w:val="none"/>
        </w:rPr>
        <w:t>第三章  采购需求</w:t>
      </w:r>
      <w:bookmarkEnd w:id="6"/>
    </w:p>
    <w:p w14:paraId="52A7860D">
      <w:pPr>
        <w:spacing w:line="360" w:lineRule="auto"/>
        <w:ind w:firstLine="437"/>
        <w:outlineLvl w:val="9"/>
        <w:rPr>
          <w:rFonts w:ascii="宋体" w:hAnsi="宋体" w:eastAsia="宋体"/>
          <w:b w:val="0"/>
          <w:bCs/>
          <w:color w:val="auto"/>
          <w:sz w:val="24"/>
          <w:szCs w:val="18"/>
          <w:highlight w:val="none"/>
        </w:rPr>
      </w:pPr>
      <w:r>
        <w:rPr>
          <w:rFonts w:hint="eastAsia" w:ascii="宋体" w:hAnsi="宋体" w:eastAsia="宋体"/>
          <w:b w:val="0"/>
          <w:bCs/>
          <w:color w:val="auto"/>
          <w:sz w:val="24"/>
          <w:szCs w:val="18"/>
          <w:highlight w:val="none"/>
        </w:rPr>
        <w:t>滁州市机电工程学校校医院服务项目，服务期三年（本项目一招三年，合同每年一签，每年年终甲方组织对乙方考核，满意度在60％以下，合同不再续签），</w:t>
      </w:r>
      <w:r>
        <w:rPr>
          <w:rFonts w:hint="eastAsia" w:ascii="宋体" w:hAnsi="宋体" w:eastAsia="宋体"/>
          <w:b w:val="0"/>
          <w:bCs/>
          <w:color w:val="auto"/>
          <w:sz w:val="24"/>
          <w:szCs w:val="18"/>
          <w:highlight w:val="none"/>
          <w:lang w:val="en-US" w:eastAsia="zh-CN"/>
        </w:rPr>
        <w:t>预算金额</w:t>
      </w:r>
      <w:r>
        <w:rPr>
          <w:rFonts w:hint="eastAsia" w:ascii="宋体" w:hAnsi="宋体" w:eastAsia="宋体"/>
          <w:b w:val="0"/>
          <w:bCs/>
          <w:color w:val="auto"/>
          <w:sz w:val="24"/>
          <w:szCs w:val="18"/>
          <w:highlight w:val="none"/>
        </w:rPr>
        <w:t>每年</w:t>
      </w:r>
      <w:r>
        <w:rPr>
          <w:rFonts w:hint="eastAsia" w:ascii="宋体" w:hAnsi="宋体" w:eastAsia="宋体"/>
          <w:b w:val="0"/>
          <w:bCs/>
          <w:color w:val="auto"/>
          <w:sz w:val="24"/>
          <w:szCs w:val="18"/>
          <w:highlight w:val="none"/>
          <w:lang w:val="en-US" w:eastAsia="zh-CN"/>
        </w:rPr>
        <w:t>13</w:t>
      </w:r>
      <w:r>
        <w:rPr>
          <w:rFonts w:hint="eastAsia" w:ascii="宋体" w:hAnsi="宋体" w:eastAsia="宋体"/>
          <w:b w:val="0"/>
          <w:bCs/>
          <w:color w:val="auto"/>
          <w:sz w:val="24"/>
          <w:szCs w:val="18"/>
          <w:highlight w:val="none"/>
        </w:rPr>
        <w:t>万元，详见投标人须知前附表。</w:t>
      </w:r>
    </w:p>
    <w:p w14:paraId="31BFF0CD">
      <w:pPr>
        <w:pStyle w:val="30"/>
        <w:outlineLvl w:val="9"/>
        <w:rPr>
          <w:rFonts w:ascii="宋体" w:hAnsi="宋体" w:eastAsia="宋体"/>
          <w:bCs/>
          <w:color w:val="auto"/>
          <w:sz w:val="24"/>
          <w:szCs w:val="18"/>
          <w:highlight w:val="none"/>
        </w:rPr>
      </w:pPr>
    </w:p>
    <w:p w14:paraId="49F47593">
      <w:pPr>
        <w:pStyle w:val="30"/>
        <w:outlineLvl w:val="9"/>
        <w:rPr>
          <w:rFonts w:ascii="宋体" w:hAnsi="宋体" w:eastAsia="宋体"/>
          <w:bCs/>
          <w:color w:val="auto"/>
          <w:sz w:val="24"/>
          <w:szCs w:val="18"/>
          <w:highlight w:val="none"/>
        </w:rPr>
      </w:pPr>
    </w:p>
    <w:p w14:paraId="4C1359B7">
      <w:pPr>
        <w:pStyle w:val="30"/>
        <w:outlineLvl w:val="9"/>
        <w:rPr>
          <w:rFonts w:ascii="宋体" w:hAnsi="宋体" w:eastAsia="宋体"/>
          <w:bCs/>
          <w:color w:val="auto"/>
          <w:sz w:val="24"/>
          <w:szCs w:val="18"/>
          <w:highlight w:val="none"/>
        </w:rPr>
      </w:pPr>
    </w:p>
    <w:p w14:paraId="310BDFA9">
      <w:pPr>
        <w:pStyle w:val="30"/>
        <w:outlineLvl w:val="9"/>
        <w:rPr>
          <w:rFonts w:ascii="宋体" w:hAnsi="宋体" w:eastAsia="宋体"/>
          <w:bCs/>
          <w:color w:val="auto"/>
          <w:sz w:val="24"/>
          <w:szCs w:val="18"/>
          <w:highlight w:val="none"/>
        </w:rPr>
      </w:pPr>
    </w:p>
    <w:p w14:paraId="654B526C">
      <w:pPr>
        <w:pStyle w:val="30"/>
        <w:outlineLvl w:val="9"/>
        <w:rPr>
          <w:rFonts w:ascii="宋体" w:hAnsi="宋体" w:eastAsia="宋体"/>
          <w:bCs/>
          <w:color w:val="auto"/>
          <w:sz w:val="24"/>
          <w:szCs w:val="18"/>
          <w:highlight w:val="none"/>
        </w:rPr>
      </w:pPr>
    </w:p>
    <w:p w14:paraId="1F7B9939">
      <w:pPr>
        <w:pStyle w:val="30"/>
        <w:outlineLvl w:val="9"/>
        <w:rPr>
          <w:rFonts w:ascii="宋体" w:hAnsi="宋体" w:eastAsia="宋体"/>
          <w:bCs/>
          <w:color w:val="auto"/>
          <w:sz w:val="24"/>
          <w:szCs w:val="18"/>
          <w:highlight w:val="none"/>
        </w:rPr>
      </w:pPr>
    </w:p>
    <w:p w14:paraId="2006E13D">
      <w:pPr>
        <w:pStyle w:val="30"/>
        <w:outlineLvl w:val="9"/>
        <w:rPr>
          <w:rFonts w:ascii="宋体" w:hAnsi="宋体" w:eastAsia="宋体"/>
          <w:bCs/>
          <w:color w:val="auto"/>
          <w:sz w:val="24"/>
          <w:szCs w:val="18"/>
          <w:highlight w:val="none"/>
        </w:rPr>
      </w:pPr>
    </w:p>
    <w:p w14:paraId="3A3E4977">
      <w:pPr>
        <w:pStyle w:val="30"/>
        <w:outlineLvl w:val="9"/>
        <w:rPr>
          <w:rFonts w:ascii="宋体" w:hAnsi="宋体" w:eastAsia="宋体"/>
          <w:bCs/>
          <w:color w:val="auto"/>
          <w:sz w:val="24"/>
          <w:szCs w:val="18"/>
          <w:highlight w:val="none"/>
        </w:rPr>
      </w:pPr>
    </w:p>
    <w:p w14:paraId="56B9B749">
      <w:pPr>
        <w:pStyle w:val="30"/>
        <w:outlineLvl w:val="9"/>
        <w:rPr>
          <w:rFonts w:ascii="宋体" w:hAnsi="宋体" w:eastAsia="宋体"/>
          <w:bCs/>
          <w:color w:val="auto"/>
          <w:sz w:val="24"/>
          <w:szCs w:val="18"/>
          <w:highlight w:val="none"/>
        </w:rPr>
      </w:pPr>
    </w:p>
    <w:p w14:paraId="77D8E683">
      <w:pPr>
        <w:pStyle w:val="30"/>
        <w:outlineLvl w:val="9"/>
        <w:rPr>
          <w:rFonts w:ascii="宋体" w:hAnsi="宋体" w:eastAsia="宋体"/>
          <w:bCs/>
          <w:color w:val="auto"/>
          <w:sz w:val="24"/>
          <w:szCs w:val="18"/>
          <w:highlight w:val="none"/>
        </w:rPr>
      </w:pPr>
    </w:p>
    <w:p w14:paraId="3E03480C">
      <w:pPr>
        <w:pStyle w:val="30"/>
        <w:outlineLvl w:val="9"/>
        <w:rPr>
          <w:rFonts w:ascii="宋体" w:hAnsi="宋体" w:eastAsia="宋体"/>
          <w:bCs/>
          <w:color w:val="auto"/>
          <w:sz w:val="24"/>
          <w:szCs w:val="18"/>
          <w:highlight w:val="none"/>
        </w:rPr>
      </w:pPr>
    </w:p>
    <w:p w14:paraId="05BF0C11">
      <w:pPr>
        <w:pStyle w:val="30"/>
        <w:outlineLvl w:val="9"/>
        <w:rPr>
          <w:rFonts w:ascii="宋体" w:hAnsi="宋体" w:eastAsia="宋体"/>
          <w:bCs/>
          <w:color w:val="auto"/>
          <w:sz w:val="24"/>
          <w:szCs w:val="18"/>
          <w:highlight w:val="none"/>
        </w:rPr>
      </w:pPr>
    </w:p>
    <w:p w14:paraId="33B7DA97">
      <w:pPr>
        <w:pStyle w:val="30"/>
        <w:outlineLvl w:val="9"/>
        <w:rPr>
          <w:rFonts w:ascii="宋体" w:hAnsi="宋体" w:eastAsia="宋体"/>
          <w:bCs/>
          <w:color w:val="auto"/>
          <w:sz w:val="24"/>
          <w:szCs w:val="18"/>
          <w:highlight w:val="none"/>
        </w:rPr>
      </w:pPr>
    </w:p>
    <w:p w14:paraId="39CBFED0">
      <w:pPr>
        <w:pStyle w:val="30"/>
        <w:outlineLvl w:val="9"/>
        <w:rPr>
          <w:rFonts w:ascii="宋体" w:hAnsi="宋体" w:eastAsia="宋体"/>
          <w:bCs/>
          <w:color w:val="auto"/>
          <w:sz w:val="24"/>
          <w:szCs w:val="18"/>
          <w:highlight w:val="none"/>
        </w:rPr>
      </w:pPr>
    </w:p>
    <w:p w14:paraId="24004718">
      <w:pPr>
        <w:pStyle w:val="30"/>
        <w:outlineLvl w:val="9"/>
        <w:rPr>
          <w:rFonts w:ascii="宋体" w:hAnsi="宋体" w:eastAsia="宋体"/>
          <w:bCs/>
          <w:color w:val="auto"/>
          <w:sz w:val="24"/>
          <w:szCs w:val="18"/>
          <w:highlight w:val="none"/>
        </w:rPr>
      </w:pPr>
    </w:p>
    <w:p w14:paraId="3CAD941D">
      <w:pPr>
        <w:pStyle w:val="30"/>
        <w:outlineLvl w:val="9"/>
        <w:rPr>
          <w:rFonts w:ascii="宋体" w:hAnsi="宋体" w:eastAsia="宋体"/>
          <w:bCs/>
          <w:color w:val="auto"/>
          <w:sz w:val="24"/>
          <w:szCs w:val="18"/>
          <w:highlight w:val="none"/>
        </w:rPr>
      </w:pPr>
    </w:p>
    <w:p w14:paraId="7E38179B">
      <w:pPr>
        <w:pStyle w:val="30"/>
        <w:outlineLvl w:val="9"/>
        <w:rPr>
          <w:rFonts w:ascii="宋体" w:hAnsi="宋体" w:eastAsia="宋体"/>
          <w:bCs/>
          <w:color w:val="auto"/>
          <w:sz w:val="24"/>
          <w:szCs w:val="18"/>
          <w:highlight w:val="none"/>
        </w:rPr>
      </w:pPr>
    </w:p>
    <w:p w14:paraId="53FC0B0A">
      <w:pPr>
        <w:pStyle w:val="30"/>
        <w:outlineLvl w:val="9"/>
        <w:rPr>
          <w:rFonts w:ascii="宋体" w:hAnsi="宋体" w:eastAsia="宋体"/>
          <w:bCs/>
          <w:color w:val="auto"/>
          <w:sz w:val="24"/>
          <w:szCs w:val="18"/>
          <w:highlight w:val="none"/>
        </w:rPr>
      </w:pPr>
    </w:p>
    <w:p w14:paraId="3C422ECF">
      <w:pPr>
        <w:pStyle w:val="30"/>
        <w:outlineLvl w:val="9"/>
        <w:rPr>
          <w:rFonts w:ascii="宋体" w:hAnsi="宋体" w:eastAsia="宋体"/>
          <w:bCs/>
          <w:color w:val="auto"/>
          <w:sz w:val="24"/>
          <w:szCs w:val="18"/>
          <w:highlight w:val="none"/>
        </w:rPr>
      </w:pPr>
    </w:p>
    <w:p w14:paraId="5D5770DE">
      <w:pPr>
        <w:pStyle w:val="30"/>
        <w:outlineLvl w:val="9"/>
        <w:rPr>
          <w:rFonts w:ascii="宋体" w:hAnsi="宋体" w:eastAsia="宋体"/>
          <w:bCs/>
          <w:color w:val="auto"/>
          <w:sz w:val="24"/>
          <w:szCs w:val="18"/>
          <w:highlight w:val="none"/>
        </w:rPr>
      </w:pPr>
    </w:p>
    <w:p w14:paraId="512DA5B7">
      <w:pPr>
        <w:pStyle w:val="30"/>
        <w:outlineLvl w:val="9"/>
        <w:rPr>
          <w:rFonts w:ascii="宋体" w:hAnsi="宋体" w:eastAsia="宋体"/>
          <w:bCs/>
          <w:color w:val="auto"/>
          <w:sz w:val="24"/>
          <w:szCs w:val="18"/>
          <w:highlight w:val="none"/>
        </w:rPr>
      </w:pPr>
    </w:p>
    <w:p w14:paraId="55BF1603">
      <w:pPr>
        <w:pStyle w:val="30"/>
        <w:outlineLvl w:val="9"/>
        <w:rPr>
          <w:rFonts w:ascii="宋体" w:hAnsi="宋体" w:eastAsia="宋体"/>
          <w:bCs/>
          <w:color w:val="auto"/>
          <w:sz w:val="24"/>
          <w:szCs w:val="18"/>
          <w:highlight w:val="none"/>
        </w:rPr>
      </w:pPr>
    </w:p>
    <w:p w14:paraId="18C495D6">
      <w:pPr>
        <w:pStyle w:val="30"/>
        <w:outlineLvl w:val="9"/>
        <w:rPr>
          <w:rFonts w:ascii="宋体" w:hAnsi="宋体" w:eastAsia="宋体"/>
          <w:bCs/>
          <w:color w:val="auto"/>
          <w:sz w:val="24"/>
          <w:szCs w:val="18"/>
          <w:highlight w:val="none"/>
        </w:rPr>
      </w:pPr>
    </w:p>
    <w:p w14:paraId="749FC651">
      <w:pPr>
        <w:pStyle w:val="30"/>
        <w:outlineLvl w:val="9"/>
        <w:rPr>
          <w:rFonts w:ascii="宋体" w:hAnsi="宋体" w:eastAsia="宋体"/>
          <w:bCs/>
          <w:color w:val="auto"/>
          <w:sz w:val="24"/>
          <w:szCs w:val="18"/>
          <w:highlight w:val="none"/>
        </w:rPr>
      </w:pPr>
    </w:p>
    <w:p w14:paraId="436E243D">
      <w:pPr>
        <w:pStyle w:val="30"/>
        <w:outlineLvl w:val="9"/>
        <w:rPr>
          <w:rFonts w:ascii="宋体" w:hAnsi="宋体" w:eastAsia="宋体"/>
          <w:bCs/>
          <w:color w:val="auto"/>
          <w:sz w:val="24"/>
          <w:szCs w:val="18"/>
          <w:highlight w:val="none"/>
        </w:rPr>
      </w:pPr>
    </w:p>
    <w:p w14:paraId="6EAAC344">
      <w:pPr>
        <w:pStyle w:val="30"/>
        <w:outlineLvl w:val="9"/>
        <w:rPr>
          <w:rFonts w:ascii="宋体" w:hAnsi="宋体" w:eastAsia="宋体"/>
          <w:bCs/>
          <w:color w:val="auto"/>
          <w:sz w:val="24"/>
          <w:szCs w:val="18"/>
          <w:highlight w:val="none"/>
        </w:rPr>
      </w:pPr>
    </w:p>
    <w:p w14:paraId="2B45BA84">
      <w:pPr>
        <w:pStyle w:val="30"/>
        <w:outlineLvl w:val="9"/>
        <w:rPr>
          <w:rFonts w:ascii="宋体" w:hAnsi="宋体" w:eastAsia="宋体"/>
          <w:bCs/>
          <w:color w:val="auto"/>
          <w:sz w:val="24"/>
          <w:szCs w:val="18"/>
          <w:highlight w:val="none"/>
        </w:rPr>
      </w:pPr>
    </w:p>
    <w:p w14:paraId="2E177BC8">
      <w:pPr>
        <w:pStyle w:val="30"/>
        <w:outlineLvl w:val="9"/>
        <w:rPr>
          <w:rFonts w:ascii="宋体" w:hAnsi="宋体" w:eastAsia="宋体"/>
          <w:bCs/>
          <w:color w:val="auto"/>
          <w:sz w:val="24"/>
          <w:szCs w:val="18"/>
          <w:highlight w:val="none"/>
        </w:rPr>
      </w:pPr>
    </w:p>
    <w:p w14:paraId="06AF97DA">
      <w:pPr>
        <w:pStyle w:val="30"/>
        <w:outlineLvl w:val="9"/>
        <w:rPr>
          <w:rFonts w:ascii="宋体" w:hAnsi="宋体" w:eastAsia="宋体"/>
          <w:bCs/>
          <w:color w:val="auto"/>
          <w:sz w:val="24"/>
          <w:szCs w:val="18"/>
          <w:highlight w:val="none"/>
        </w:rPr>
      </w:pPr>
    </w:p>
    <w:p w14:paraId="26A4AEF1">
      <w:pPr>
        <w:pStyle w:val="30"/>
        <w:outlineLvl w:val="9"/>
        <w:rPr>
          <w:rFonts w:ascii="宋体" w:hAnsi="宋体" w:eastAsia="宋体"/>
          <w:bCs/>
          <w:color w:val="auto"/>
          <w:sz w:val="24"/>
          <w:szCs w:val="18"/>
          <w:highlight w:val="none"/>
        </w:rPr>
      </w:pPr>
    </w:p>
    <w:p w14:paraId="00E3E34C">
      <w:pPr>
        <w:pStyle w:val="30"/>
        <w:outlineLvl w:val="9"/>
        <w:rPr>
          <w:rFonts w:ascii="宋体" w:hAnsi="宋体" w:eastAsia="宋体"/>
          <w:bCs/>
          <w:color w:val="auto"/>
          <w:sz w:val="24"/>
          <w:szCs w:val="18"/>
          <w:highlight w:val="none"/>
        </w:rPr>
      </w:pPr>
    </w:p>
    <w:p w14:paraId="6F98AAB2">
      <w:pPr>
        <w:pStyle w:val="30"/>
        <w:outlineLvl w:val="9"/>
        <w:rPr>
          <w:rFonts w:ascii="宋体" w:hAnsi="宋体" w:eastAsia="宋体"/>
          <w:bCs/>
          <w:color w:val="auto"/>
          <w:sz w:val="24"/>
          <w:szCs w:val="18"/>
          <w:highlight w:val="none"/>
        </w:rPr>
      </w:pPr>
    </w:p>
    <w:p w14:paraId="0FF946B6">
      <w:pPr>
        <w:pStyle w:val="30"/>
        <w:outlineLvl w:val="9"/>
        <w:rPr>
          <w:rFonts w:ascii="宋体" w:hAnsi="宋体" w:eastAsia="宋体"/>
          <w:bCs/>
          <w:color w:val="auto"/>
          <w:sz w:val="24"/>
          <w:szCs w:val="18"/>
          <w:highlight w:val="none"/>
        </w:rPr>
      </w:pPr>
    </w:p>
    <w:p w14:paraId="6AF4D6D8">
      <w:pPr>
        <w:pStyle w:val="30"/>
        <w:outlineLvl w:val="9"/>
        <w:rPr>
          <w:rFonts w:ascii="宋体" w:hAnsi="宋体" w:eastAsia="宋体"/>
          <w:bCs/>
          <w:color w:val="auto"/>
          <w:sz w:val="24"/>
          <w:szCs w:val="18"/>
          <w:highlight w:val="none"/>
        </w:rPr>
      </w:pPr>
    </w:p>
    <w:p w14:paraId="70B3D5E2">
      <w:pPr>
        <w:pStyle w:val="30"/>
        <w:outlineLvl w:val="9"/>
        <w:rPr>
          <w:rFonts w:ascii="宋体" w:hAnsi="宋体" w:eastAsia="宋体"/>
          <w:bCs/>
          <w:color w:val="auto"/>
          <w:sz w:val="24"/>
          <w:szCs w:val="18"/>
          <w:highlight w:val="none"/>
        </w:rPr>
      </w:pPr>
    </w:p>
    <w:p w14:paraId="09354B40">
      <w:pPr>
        <w:pStyle w:val="30"/>
        <w:outlineLvl w:val="9"/>
        <w:rPr>
          <w:rFonts w:ascii="宋体" w:hAnsi="宋体" w:eastAsia="宋体"/>
          <w:bCs/>
          <w:color w:val="auto"/>
          <w:sz w:val="24"/>
          <w:szCs w:val="18"/>
          <w:highlight w:val="none"/>
        </w:rPr>
      </w:pPr>
    </w:p>
    <w:p w14:paraId="6F78E41B">
      <w:pPr>
        <w:pStyle w:val="30"/>
        <w:outlineLvl w:val="9"/>
        <w:rPr>
          <w:rFonts w:ascii="宋体" w:hAnsi="宋体" w:eastAsia="宋体"/>
          <w:bCs/>
          <w:color w:val="auto"/>
          <w:sz w:val="24"/>
          <w:szCs w:val="18"/>
          <w:highlight w:val="none"/>
        </w:rPr>
      </w:pPr>
    </w:p>
    <w:p w14:paraId="04FD6248">
      <w:pPr>
        <w:pStyle w:val="30"/>
        <w:outlineLvl w:val="9"/>
        <w:rPr>
          <w:rFonts w:ascii="宋体" w:hAnsi="宋体" w:eastAsia="宋体"/>
          <w:bCs/>
          <w:color w:val="auto"/>
          <w:sz w:val="24"/>
          <w:szCs w:val="18"/>
          <w:highlight w:val="none"/>
        </w:rPr>
      </w:pPr>
    </w:p>
    <w:p w14:paraId="22F00AA6">
      <w:pPr>
        <w:pStyle w:val="30"/>
        <w:outlineLvl w:val="9"/>
        <w:rPr>
          <w:rFonts w:ascii="宋体" w:hAnsi="宋体" w:eastAsia="宋体"/>
          <w:bCs/>
          <w:color w:val="auto"/>
          <w:sz w:val="24"/>
          <w:szCs w:val="18"/>
          <w:highlight w:val="none"/>
        </w:rPr>
      </w:pPr>
    </w:p>
    <w:p w14:paraId="45AF8EBD">
      <w:pPr>
        <w:spacing w:line="360" w:lineRule="auto"/>
        <w:jc w:val="center"/>
        <w:outlineLvl w:val="0"/>
        <w:rPr>
          <w:rFonts w:asciiTheme="minorEastAsia" w:hAnsiTheme="minorEastAsia" w:eastAsiaTheme="minorEastAsia"/>
          <w:b/>
          <w:color w:val="auto"/>
          <w:sz w:val="28"/>
          <w:highlight w:val="none"/>
        </w:rPr>
      </w:pPr>
      <w:bookmarkStart w:id="7" w:name="_Toc4269"/>
      <w:r>
        <w:rPr>
          <w:rFonts w:hint="eastAsia" w:asciiTheme="minorEastAsia" w:hAnsiTheme="minorEastAsia" w:eastAsiaTheme="minorEastAsia"/>
          <w:b/>
          <w:color w:val="auto"/>
          <w:sz w:val="28"/>
          <w:highlight w:val="none"/>
        </w:rPr>
        <w:t>第四章  评标方法和标准（综合评分法）</w:t>
      </w:r>
      <w:bookmarkEnd w:id="7"/>
    </w:p>
    <w:p w14:paraId="793F6ACB">
      <w:pPr>
        <w:spacing w:line="360" w:lineRule="auto"/>
        <w:ind w:firstLine="437"/>
        <w:outlineLvl w:val="9"/>
        <w:rPr>
          <w:rFonts w:asciiTheme="minorEastAsia" w:hAnsiTheme="minorEastAsia" w:eastAsiaTheme="minorEastAsia"/>
          <w:b/>
          <w:color w:val="auto"/>
          <w:sz w:val="24"/>
          <w:highlight w:val="none"/>
        </w:rPr>
      </w:pPr>
      <w:bookmarkStart w:id="8" w:name="_Toc1246"/>
      <w:bookmarkStart w:id="9" w:name="_Toc11823"/>
      <w:r>
        <w:rPr>
          <w:rFonts w:hint="eastAsia" w:asciiTheme="minorEastAsia" w:hAnsiTheme="minorEastAsia" w:eastAsiaTheme="minorEastAsia"/>
          <w:b/>
          <w:color w:val="auto"/>
          <w:sz w:val="24"/>
          <w:highlight w:val="none"/>
        </w:rPr>
        <w:t>一、总则</w:t>
      </w:r>
      <w:bookmarkEnd w:id="8"/>
      <w:bookmarkEnd w:id="9"/>
    </w:p>
    <w:p w14:paraId="7C0FDF3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165894C4">
      <w:pPr>
        <w:spacing w:line="360" w:lineRule="auto"/>
        <w:ind w:firstLine="437"/>
        <w:outlineLvl w:val="9"/>
        <w:rPr>
          <w:rFonts w:asciiTheme="minorEastAsia" w:hAnsiTheme="minorEastAsia" w:eastAsiaTheme="minorEastAsia"/>
          <w:b/>
          <w:color w:val="auto"/>
          <w:sz w:val="24"/>
          <w:highlight w:val="none"/>
        </w:rPr>
      </w:pPr>
      <w:bookmarkStart w:id="10" w:name="_Toc13117"/>
      <w:bookmarkStart w:id="11" w:name="_Toc31871"/>
      <w:r>
        <w:rPr>
          <w:rFonts w:hint="eastAsia" w:asciiTheme="minorEastAsia" w:hAnsiTheme="minorEastAsia" w:eastAsiaTheme="minorEastAsia"/>
          <w:b/>
          <w:color w:val="auto"/>
          <w:sz w:val="24"/>
          <w:highlight w:val="none"/>
        </w:rPr>
        <w:t>二、评标方法</w:t>
      </w:r>
      <w:bookmarkEnd w:id="10"/>
      <w:bookmarkEnd w:id="11"/>
    </w:p>
    <w:p w14:paraId="27BD4193">
      <w:pPr>
        <w:spacing w:line="360" w:lineRule="auto"/>
        <w:ind w:firstLine="437"/>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4"/>
        <w:tblW w:w="54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602"/>
        <w:gridCol w:w="5196"/>
        <w:gridCol w:w="1679"/>
      </w:tblGrid>
      <w:tr w14:paraId="29B3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4C16D55">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5D49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bottom w:val="single" w:color="auto" w:sz="4" w:space="0"/>
            </w:tcBorders>
            <w:vAlign w:val="center"/>
          </w:tcPr>
          <w:p w14:paraId="78C2A551">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序号</w:t>
            </w:r>
          </w:p>
        </w:tc>
        <w:tc>
          <w:tcPr>
            <w:tcW w:w="863" w:type="pct"/>
            <w:tcBorders>
              <w:bottom w:val="single" w:color="auto" w:sz="4" w:space="0"/>
            </w:tcBorders>
            <w:vAlign w:val="center"/>
          </w:tcPr>
          <w:p w14:paraId="32E09E35">
            <w:pPr>
              <w:pStyle w:val="34"/>
              <w:pBdr>
                <w:bottom w:val="none" w:color="auto" w:sz="0" w:space="0"/>
              </w:pBdr>
              <w:tabs>
                <w:tab w:val="clear" w:pos="4153"/>
                <w:tab w:val="clear" w:pos="8306"/>
              </w:tabs>
              <w:snapToGrid w:val="0"/>
              <w:spacing w:line="360" w:lineRule="auto"/>
              <w:ind w:right="-10"/>
              <w:outlineLvl w:val="9"/>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800" w:type="pct"/>
            <w:tcBorders>
              <w:bottom w:val="single" w:color="auto" w:sz="4" w:space="0"/>
            </w:tcBorders>
            <w:vAlign w:val="center"/>
          </w:tcPr>
          <w:p w14:paraId="560D7823">
            <w:pPr>
              <w:adjustRightInd w:val="0"/>
              <w:snapToGrid w:val="0"/>
              <w:spacing w:line="360" w:lineRule="auto"/>
              <w:ind w:right="-10"/>
              <w:jc w:val="center"/>
              <w:outlineLvl w:val="9"/>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903" w:type="pct"/>
            <w:tcBorders>
              <w:bottom w:val="single" w:color="auto" w:sz="4" w:space="0"/>
            </w:tcBorders>
            <w:vAlign w:val="center"/>
          </w:tcPr>
          <w:p w14:paraId="3105F1EC">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12A8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32" w:type="pct"/>
            <w:tcBorders>
              <w:bottom w:val="single" w:color="auto" w:sz="4" w:space="0"/>
            </w:tcBorders>
            <w:vAlign w:val="center"/>
          </w:tcPr>
          <w:p w14:paraId="0CCF781A">
            <w:pPr>
              <w:adjustRightInd w:val="0"/>
              <w:snapToGrid w:val="0"/>
              <w:spacing w:line="360" w:lineRule="auto"/>
              <w:ind w:right="-10" w:rightChars="0"/>
              <w:jc w:val="center"/>
              <w:outlineLvl w:val="9"/>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863" w:type="pct"/>
            <w:tcBorders>
              <w:bottom w:val="single" w:color="auto" w:sz="4" w:space="0"/>
            </w:tcBorders>
            <w:vAlign w:val="center"/>
          </w:tcPr>
          <w:p w14:paraId="0551A1FB">
            <w:pPr>
              <w:spacing w:after="50" w:line="360" w:lineRule="auto"/>
              <w:ind w:right="-10" w:rightChars="0"/>
              <w:jc w:val="center"/>
              <w:outlineLvl w:val="9"/>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800" w:type="pct"/>
            <w:tcBorders>
              <w:bottom w:val="single" w:color="auto" w:sz="4" w:space="0"/>
            </w:tcBorders>
            <w:vAlign w:val="center"/>
          </w:tcPr>
          <w:p w14:paraId="5E8BAC65">
            <w:pPr>
              <w:spacing w:after="50" w:line="360" w:lineRule="auto"/>
              <w:ind w:right="-10" w:rightChars="0"/>
              <w:jc w:val="lef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3615C6E">
            <w:pPr>
              <w:spacing w:after="50" w:line="360" w:lineRule="auto"/>
              <w:ind w:right="-10" w:rightChars="0"/>
              <w:jc w:val="left"/>
              <w:outlineLvl w:val="9"/>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tc>
        <w:tc>
          <w:tcPr>
            <w:tcW w:w="903" w:type="pct"/>
            <w:vAlign w:val="center"/>
          </w:tcPr>
          <w:p w14:paraId="03F7D485">
            <w:pPr>
              <w:spacing w:line="360" w:lineRule="auto"/>
              <w:jc w:val="left"/>
              <w:outlineLvl w:val="9"/>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6499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32" w:type="pct"/>
            <w:tcBorders>
              <w:bottom w:val="single" w:color="auto" w:sz="4" w:space="0"/>
            </w:tcBorders>
            <w:vAlign w:val="center"/>
          </w:tcPr>
          <w:p w14:paraId="7E4449B2">
            <w:pPr>
              <w:adjustRightInd w:val="0"/>
              <w:snapToGrid w:val="0"/>
              <w:spacing w:line="360" w:lineRule="auto"/>
              <w:ind w:right="-10" w:rightChars="0"/>
              <w:jc w:val="center"/>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863" w:type="pct"/>
            <w:tcBorders>
              <w:bottom w:val="single" w:color="auto" w:sz="4" w:space="0"/>
            </w:tcBorders>
            <w:vAlign w:val="center"/>
          </w:tcPr>
          <w:p w14:paraId="5C983F61">
            <w:pPr>
              <w:spacing w:after="50" w:line="360" w:lineRule="auto"/>
              <w:ind w:right="-10" w:rightChars="0"/>
              <w:jc w:val="center"/>
              <w:outlineLvl w:val="9"/>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800" w:type="pct"/>
            <w:tcBorders>
              <w:bottom w:val="single" w:color="auto" w:sz="4" w:space="0"/>
            </w:tcBorders>
            <w:vAlign w:val="center"/>
          </w:tcPr>
          <w:p w14:paraId="5427E299">
            <w:pPr>
              <w:spacing w:after="50" w:line="360" w:lineRule="auto"/>
              <w:ind w:right="-10" w:rightChars="0"/>
              <w:jc w:val="left"/>
              <w:outlineLvl w:val="9"/>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903" w:type="pct"/>
            <w:vAlign w:val="center"/>
          </w:tcPr>
          <w:p w14:paraId="225BE4A6">
            <w:pPr>
              <w:spacing w:line="36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06CA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55A9A4B5">
            <w:pPr>
              <w:adjustRightInd w:val="0"/>
              <w:snapToGrid w:val="0"/>
              <w:spacing w:line="360" w:lineRule="auto"/>
              <w:ind w:right="-10"/>
              <w:jc w:val="center"/>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863" w:type="pct"/>
            <w:vAlign w:val="center"/>
          </w:tcPr>
          <w:p w14:paraId="05ACED6A">
            <w:pPr>
              <w:spacing w:after="50" w:line="360" w:lineRule="auto"/>
              <w:ind w:right="-10"/>
              <w:jc w:val="center"/>
              <w:outlineLvl w:val="9"/>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800" w:type="pct"/>
            <w:vAlign w:val="center"/>
          </w:tcPr>
          <w:p w14:paraId="681AE38A">
            <w:pPr>
              <w:spacing w:after="50" w:line="360" w:lineRule="auto"/>
              <w:ind w:right="-10" w:rightChars="0"/>
              <w:jc w:val="left"/>
              <w:outlineLvl w:val="9"/>
              <w:rPr>
                <w:color w:val="auto"/>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903" w:type="pct"/>
            <w:vAlign w:val="center"/>
          </w:tcPr>
          <w:p w14:paraId="52B4BB6D">
            <w:pPr>
              <w:spacing w:line="360" w:lineRule="auto"/>
              <w:jc w:val="left"/>
              <w:outlineLvl w:val="9"/>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无须投标人</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供，由采购人或采购代理机构查询。</w:t>
            </w:r>
          </w:p>
        </w:tc>
      </w:tr>
      <w:tr w14:paraId="132F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bottom w:val="single" w:color="auto" w:sz="4" w:space="0"/>
            </w:tcBorders>
            <w:vAlign w:val="center"/>
          </w:tcPr>
          <w:p w14:paraId="2D498803">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宋体" w:hAnsi="宋体" w:eastAsia="宋体"/>
                <w:color w:val="auto"/>
                <w:sz w:val="24"/>
                <w:highlight w:val="none"/>
                <w:lang w:val="en-US" w:eastAsia="zh-CN"/>
              </w:rPr>
            </w:pPr>
            <w:r>
              <w:rPr>
                <w:rFonts w:hint="eastAsia" w:ascii="宋体" w:hAnsi="宋体" w:eastAsia="宋体"/>
                <w:color w:val="auto"/>
                <w:sz w:val="24"/>
                <w:szCs w:val="20"/>
                <w:highlight w:val="none"/>
                <w:lang w:val="en-US" w:eastAsia="zh-CN"/>
              </w:rPr>
              <w:t>4</w:t>
            </w:r>
          </w:p>
        </w:tc>
        <w:tc>
          <w:tcPr>
            <w:tcW w:w="863" w:type="pct"/>
            <w:tcBorders>
              <w:bottom w:val="single" w:color="auto" w:sz="4" w:space="0"/>
            </w:tcBorders>
            <w:vAlign w:val="center"/>
          </w:tcPr>
          <w:p w14:paraId="53BA5AAF">
            <w:pPr>
              <w:keepNext w:val="0"/>
              <w:keepLines w:val="0"/>
              <w:suppressLineNumbers w:val="0"/>
              <w:spacing w:before="0" w:beforeAutospacing="0" w:after="50" w:afterAutospacing="0" w:line="360" w:lineRule="auto"/>
              <w:ind w:left="0" w:leftChars="0" w:right="-10" w:rightChars="0"/>
              <w:jc w:val="center"/>
              <w:outlineLvl w:val="9"/>
              <w:rPr>
                <w:rFonts w:hint="eastAsia" w:ascii="宋体" w:hAnsi="宋体" w:eastAsia="宋体" w:cs="宋体"/>
                <w:color w:val="auto"/>
                <w:sz w:val="24"/>
                <w:szCs w:val="24"/>
                <w:highlight w:val="none"/>
              </w:rPr>
            </w:pPr>
            <w:r>
              <w:rPr>
                <w:rFonts w:hint="eastAsia" w:ascii="宋体" w:hAnsi="宋体" w:eastAsia="宋体"/>
                <w:color w:val="auto"/>
                <w:sz w:val="24"/>
                <w:szCs w:val="18"/>
                <w:highlight w:val="none"/>
              </w:rPr>
              <w:t>诚信投标承诺书</w:t>
            </w:r>
          </w:p>
        </w:tc>
        <w:tc>
          <w:tcPr>
            <w:tcW w:w="2800" w:type="pct"/>
            <w:tcBorders>
              <w:bottom w:val="single" w:color="auto" w:sz="4" w:space="0"/>
            </w:tcBorders>
            <w:vAlign w:val="center"/>
          </w:tcPr>
          <w:p w14:paraId="2A040809">
            <w:pPr>
              <w:keepNext w:val="0"/>
              <w:keepLines w:val="0"/>
              <w:suppressLineNumbers w:val="0"/>
              <w:spacing w:before="0" w:beforeAutospacing="0" w:after="50" w:afterAutospacing="0" w:line="360" w:lineRule="auto"/>
              <w:ind w:left="0" w:leftChars="0" w:right="-10" w:rightChars="0"/>
              <w:jc w:val="left"/>
              <w:outlineLvl w:val="9"/>
              <w:rPr>
                <w:rFonts w:hint="eastAsia" w:ascii="宋体" w:hAnsi="宋体" w:eastAsia="宋体" w:cs="宋体"/>
                <w:color w:val="auto"/>
                <w:sz w:val="24"/>
                <w:szCs w:val="24"/>
                <w:highlight w:val="none"/>
                <w:lang w:val="zh-CN" w:eastAsia="zh-CN"/>
              </w:rPr>
            </w:pPr>
            <w:r>
              <w:rPr>
                <w:rFonts w:hint="eastAsia" w:ascii="宋体" w:hAnsi="宋体" w:eastAsia="宋体"/>
                <w:color w:val="auto"/>
                <w:sz w:val="24"/>
                <w:szCs w:val="18"/>
                <w:highlight w:val="none"/>
                <w:lang w:val="en-US" w:eastAsia="zh-CN"/>
              </w:rPr>
              <w:t>提</w:t>
            </w:r>
            <w:r>
              <w:rPr>
                <w:rFonts w:hint="default" w:ascii="宋体" w:hAnsi="宋体" w:eastAsia="宋体"/>
                <w:color w:val="auto"/>
                <w:sz w:val="24"/>
                <w:szCs w:val="18"/>
                <w:highlight w:val="none"/>
              </w:rPr>
              <w:t>供符合招标文件要求的《</w:t>
            </w:r>
            <w:r>
              <w:rPr>
                <w:rFonts w:hint="eastAsia" w:ascii="宋体" w:hAnsi="宋体" w:eastAsia="宋体"/>
                <w:color w:val="auto"/>
                <w:sz w:val="24"/>
                <w:szCs w:val="18"/>
                <w:highlight w:val="none"/>
              </w:rPr>
              <w:t>诚信投标承诺书</w:t>
            </w:r>
            <w:r>
              <w:rPr>
                <w:rFonts w:hint="default" w:ascii="宋体" w:hAnsi="宋体" w:eastAsia="宋体"/>
                <w:color w:val="auto"/>
                <w:sz w:val="24"/>
                <w:szCs w:val="18"/>
                <w:highlight w:val="none"/>
              </w:rPr>
              <w:t>》</w:t>
            </w:r>
            <w:r>
              <w:rPr>
                <w:rFonts w:hint="eastAsia" w:ascii="宋体" w:hAnsi="宋体" w:eastAsia="宋体"/>
                <w:color w:val="auto"/>
                <w:sz w:val="24"/>
                <w:szCs w:val="18"/>
                <w:highlight w:val="none"/>
                <w:lang w:eastAsia="zh-CN"/>
              </w:rPr>
              <w:t>。</w:t>
            </w:r>
          </w:p>
        </w:tc>
        <w:tc>
          <w:tcPr>
            <w:tcW w:w="903" w:type="pct"/>
            <w:tcBorders>
              <w:bottom w:val="single" w:color="auto" w:sz="4" w:space="0"/>
            </w:tcBorders>
            <w:vAlign w:val="center"/>
          </w:tcPr>
          <w:p w14:paraId="2566AC2D">
            <w:pPr>
              <w:keepNext w:val="0"/>
              <w:keepLines w:val="0"/>
              <w:suppressLineNumbers w:val="0"/>
              <w:spacing w:before="0" w:beforeAutospacing="0" w:after="50" w:afterAutospacing="0" w:line="360" w:lineRule="auto"/>
              <w:ind w:left="0" w:leftChars="0" w:right="-10" w:rightChars="0"/>
              <w:jc w:val="left"/>
              <w:outlineLvl w:val="9"/>
              <w:rPr>
                <w:rFonts w:hint="eastAsia" w:ascii="宋体" w:hAnsi="宋体" w:eastAsia="宋体" w:cs="宋体"/>
                <w:color w:val="auto"/>
                <w:sz w:val="24"/>
                <w:szCs w:val="24"/>
                <w:highlight w:val="none"/>
              </w:rPr>
            </w:pPr>
            <w:r>
              <w:rPr>
                <w:rFonts w:hint="eastAsia" w:ascii="宋体" w:hAnsi="宋体" w:eastAsia="宋体"/>
                <w:color w:val="auto"/>
                <w:sz w:val="24"/>
                <w:szCs w:val="18"/>
                <w:highlight w:val="none"/>
              </w:rPr>
              <w:t>详见第六章投标文件格式</w:t>
            </w:r>
            <w:r>
              <w:rPr>
                <w:rFonts w:hint="eastAsia" w:ascii="宋体" w:hAnsi="宋体" w:eastAsia="宋体"/>
                <w:color w:val="auto"/>
                <w:sz w:val="24"/>
                <w:szCs w:val="18"/>
                <w:highlight w:val="none"/>
                <w:lang w:eastAsia="zh-CN"/>
              </w:rPr>
              <w:t>。</w:t>
            </w:r>
          </w:p>
        </w:tc>
      </w:tr>
    </w:tbl>
    <w:p w14:paraId="0892EA62">
      <w:pPr>
        <w:spacing w:line="360" w:lineRule="auto"/>
        <w:ind w:firstLine="435"/>
        <w:outlineLvl w:val="9"/>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63CA76C9">
      <w:pPr>
        <w:spacing w:line="360" w:lineRule="auto"/>
        <w:ind w:firstLine="437"/>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047AF458">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4"/>
        <w:tblW w:w="53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158"/>
        <w:gridCol w:w="3607"/>
        <w:gridCol w:w="2522"/>
      </w:tblGrid>
      <w:tr w14:paraId="6958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31432CE8">
            <w:pPr>
              <w:adjustRightInd w:val="0"/>
              <w:snapToGrid w:val="0"/>
              <w:spacing w:line="360" w:lineRule="auto"/>
              <w:ind w:right="-10"/>
              <w:jc w:val="center"/>
              <w:outlineLvl w:val="9"/>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697D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88" w:type="pct"/>
            <w:tcBorders>
              <w:bottom w:val="single" w:color="auto" w:sz="4" w:space="0"/>
            </w:tcBorders>
            <w:vAlign w:val="center"/>
          </w:tcPr>
          <w:p w14:paraId="225FE6AE">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序号</w:t>
            </w:r>
          </w:p>
        </w:tc>
        <w:tc>
          <w:tcPr>
            <w:tcW w:w="1175" w:type="pct"/>
            <w:tcBorders>
              <w:bottom w:val="single" w:color="auto" w:sz="4" w:space="0"/>
            </w:tcBorders>
            <w:vAlign w:val="center"/>
          </w:tcPr>
          <w:p w14:paraId="02510A22">
            <w:pPr>
              <w:pStyle w:val="34"/>
              <w:pBdr>
                <w:bottom w:val="none" w:color="auto" w:sz="0" w:space="0"/>
              </w:pBdr>
              <w:tabs>
                <w:tab w:val="clear" w:pos="4153"/>
                <w:tab w:val="clear" w:pos="8306"/>
              </w:tabs>
              <w:snapToGrid w:val="0"/>
              <w:spacing w:line="360" w:lineRule="auto"/>
              <w:ind w:right="-10"/>
              <w:outlineLvl w:val="9"/>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964" w:type="pct"/>
            <w:tcBorders>
              <w:bottom w:val="single" w:color="auto" w:sz="4" w:space="0"/>
            </w:tcBorders>
            <w:vAlign w:val="center"/>
          </w:tcPr>
          <w:p w14:paraId="47EA890F">
            <w:pPr>
              <w:adjustRightInd w:val="0"/>
              <w:snapToGrid w:val="0"/>
              <w:spacing w:line="360" w:lineRule="auto"/>
              <w:ind w:right="-10"/>
              <w:jc w:val="center"/>
              <w:outlineLvl w:val="9"/>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371" w:type="pct"/>
            <w:tcBorders>
              <w:bottom w:val="single" w:color="auto" w:sz="4" w:space="0"/>
            </w:tcBorders>
            <w:vAlign w:val="center"/>
          </w:tcPr>
          <w:p w14:paraId="6681F58B">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F62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50808954">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175" w:type="pct"/>
            <w:vAlign w:val="center"/>
          </w:tcPr>
          <w:p w14:paraId="3DCF4A00">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0"/>
                <w:highlight w:val="none"/>
              </w:rPr>
              <w:t>开标一览表</w:t>
            </w:r>
          </w:p>
        </w:tc>
        <w:tc>
          <w:tcPr>
            <w:tcW w:w="1964" w:type="pct"/>
            <w:vAlign w:val="center"/>
          </w:tcPr>
          <w:p w14:paraId="43ECB741">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371" w:type="pct"/>
            <w:vAlign w:val="center"/>
          </w:tcPr>
          <w:p w14:paraId="736B0879">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79D8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25CB01DC">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75" w:type="pct"/>
            <w:vAlign w:val="center"/>
          </w:tcPr>
          <w:p w14:paraId="44E8DCE5">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964" w:type="pct"/>
            <w:vAlign w:val="center"/>
          </w:tcPr>
          <w:p w14:paraId="00A2C935">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371" w:type="pct"/>
            <w:vAlign w:val="center"/>
          </w:tcPr>
          <w:p w14:paraId="5A5F6DB6">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4E80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354C512E">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175" w:type="pct"/>
            <w:vAlign w:val="center"/>
          </w:tcPr>
          <w:p w14:paraId="4BB4DF90">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964" w:type="pct"/>
            <w:vAlign w:val="center"/>
          </w:tcPr>
          <w:p w14:paraId="3E2DC76C">
            <w:pPr>
              <w:keepNext w:val="0"/>
              <w:keepLines w:val="0"/>
              <w:suppressLineNumbers w:val="0"/>
              <w:spacing w:before="0" w:beforeAutospacing="0" w:after="50" w:afterAutospacing="0" w:line="360" w:lineRule="auto"/>
              <w:ind w:left="0" w:leftChars="0"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r>
              <w:rPr>
                <w:rFonts w:hint="eastAsia" w:asciiTheme="minorEastAsia" w:hAnsiTheme="minorEastAsia" w:eastAsiaTheme="minorEastAsia"/>
                <w:color w:val="auto"/>
                <w:sz w:val="24"/>
                <w:szCs w:val="28"/>
                <w:highlight w:val="none"/>
                <w:lang w:eastAsia="zh-CN"/>
              </w:rPr>
              <w:t>；</w:t>
            </w:r>
            <w:r>
              <w:rPr>
                <w:rFonts w:hint="eastAsia" w:asciiTheme="minorEastAsia" w:hAnsiTheme="minorEastAsia" w:eastAsiaTheme="minorEastAsia"/>
                <w:b/>
                <w:bCs/>
                <w:color w:val="auto"/>
                <w:sz w:val="24"/>
                <w:szCs w:val="28"/>
                <w:highlight w:val="none"/>
              </w:rPr>
              <w:t>法定代表人参加开标会议，应携带本人身份证；委托代理人参加开标会议应携带</w:t>
            </w:r>
            <w:r>
              <w:rPr>
                <w:rFonts w:hint="eastAsia" w:asciiTheme="minorEastAsia" w:hAnsiTheme="minorEastAsia" w:eastAsiaTheme="minorEastAsia"/>
                <w:b/>
                <w:bCs/>
                <w:color w:val="auto"/>
                <w:sz w:val="24"/>
                <w:szCs w:val="28"/>
                <w:highlight w:val="none"/>
                <w:lang w:eastAsia="zh-CN"/>
              </w:rPr>
              <w:t>（</w:t>
            </w:r>
            <w:r>
              <w:rPr>
                <w:rFonts w:hint="eastAsia" w:asciiTheme="minorEastAsia" w:hAnsiTheme="minorEastAsia" w:eastAsiaTheme="minorEastAsia"/>
                <w:b/>
                <w:bCs/>
                <w:color w:val="auto"/>
                <w:sz w:val="24"/>
                <w:szCs w:val="28"/>
                <w:highlight w:val="none"/>
                <w:lang w:val="en-US" w:eastAsia="zh-CN"/>
              </w:rPr>
              <w:t>手持或装订在投标文件中</w:t>
            </w:r>
            <w:r>
              <w:rPr>
                <w:rFonts w:hint="eastAsia" w:asciiTheme="minorEastAsia" w:hAnsiTheme="minorEastAsia" w:eastAsiaTheme="minorEastAsia"/>
                <w:b/>
                <w:bCs/>
                <w:color w:val="auto"/>
                <w:sz w:val="24"/>
                <w:szCs w:val="28"/>
                <w:highlight w:val="none"/>
                <w:lang w:eastAsia="zh-CN"/>
              </w:rPr>
              <w:t>）</w:t>
            </w:r>
            <w:r>
              <w:rPr>
                <w:rFonts w:hint="eastAsia" w:asciiTheme="minorEastAsia" w:hAnsiTheme="minorEastAsia" w:eastAsiaTheme="minorEastAsia"/>
                <w:b/>
                <w:bCs/>
                <w:color w:val="auto"/>
                <w:sz w:val="24"/>
                <w:szCs w:val="28"/>
                <w:highlight w:val="none"/>
              </w:rPr>
              <w:t>法定代表人授权书和本人身份证。</w:t>
            </w:r>
          </w:p>
        </w:tc>
        <w:tc>
          <w:tcPr>
            <w:tcW w:w="1371" w:type="pct"/>
            <w:vAlign w:val="center"/>
          </w:tcPr>
          <w:p w14:paraId="4452C05B">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21E1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089C1BBF">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75" w:type="pct"/>
            <w:vAlign w:val="center"/>
          </w:tcPr>
          <w:p w14:paraId="159305FB">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964" w:type="pct"/>
            <w:vAlign w:val="center"/>
          </w:tcPr>
          <w:p w14:paraId="664ABA60">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0"/>
                <w:highlight w:val="none"/>
              </w:rPr>
              <w:t>招标文件投标人须知正文第</w:t>
            </w:r>
            <w:r>
              <w:rPr>
                <w:rFonts w:hint="eastAsia" w:asciiTheme="minorEastAsia" w:hAnsiTheme="minorEastAsia" w:eastAsiaTheme="minorEastAsia"/>
                <w:color w:val="auto"/>
                <w:sz w:val="24"/>
                <w:szCs w:val="20"/>
                <w:highlight w:val="none"/>
                <w:lang w:val="en-US" w:eastAsia="zh-CN"/>
              </w:rPr>
              <w:t>9</w:t>
            </w:r>
            <w:r>
              <w:rPr>
                <w:rFonts w:hint="eastAsia" w:asciiTheme="minorEastAsia" w:hAnsiTheme="minorEastAsia" w:eastAsiaTheme="minorEastAsia"/>
                <w:color w:val="auto"/>
                <w:sz w:val="24"/>
                <w:szCs w:val="20"/>
                <w:highlight w:val="none"/>
              </w:rPr>
              <w:t>条要求</w:t>
            </w:r>
          </w:p>
        </w:tc>
        <w:tc>
          <w:tcPr>
            <w:tcW w:w="1371" w:type="pct"/>
            <w:vAlign w:val="center"/>
          </w:tcPr>
          <w:p w14:paraId="282429B9">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0F2C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682EC1DF">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175" w:type="pct"/>
            <w:vAlign w:val="center"/>
          </w:tcPr>
          <w:p w14:paraId="3BFDBD65">
            <w:pPr>
              <w:spacing w:after="50" w:line="360" w:lineRule="auto"/>
              <w:ind w:right="-1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964" w:type="pct"/>
            <w:vAlign w:val="center"/>
          </w:tcPr>
          <w:p w14:paraId="6E958628">
            <w:pPr>
              <w:spacing w:after="50" w:line="360" w:lineRule="auto"/>
              <w:ind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371" w:type="pct"/>
            <w:vAlign w:val="center"/>
          </w:tcPr>
          <w:p w14:paraId="29E979E8">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63EE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43ABDE93">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1175" w:type="pct"/>
            <w:vAlign w:val="center"/>
          </w:tcPr>
          <w:p w14:paraId="5B87CEE1">
            <w:pPr>
              <w:spacing w:after="50" w:line="360" w:lineRule="auto"/>
              <w:ind w:right="-1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1964" w:type="pct"/>
            <w:vAlign w:val="center"/>
          </w:tcPr>
          <w:p w14:paraId="6428CF6D">
            <w:pPr>
              <w:spacing w:after="50" w:line="360" w:lineRule="auto"/>
              <w:ind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符合招标文件采购需求中货物技术参数</w:t>
            </w:r>
            <w:r>
              <w:rPr>
                <w:rFonts w:hint="eastAsia" w:asciiTheme="minorEastAsia" w:hAnsiTheme="minorEastAsia" w:eastAsiaTheme="minorEastAsia"/>
                <w:color w:val="auto"/>
                <w:sz w:val="24"/>
                <w:szCs w:val="28"/>
                <w:highlight w:val="none"/>
                <w:lang w:val="en-US" w:eastAsia="zh-CN"/>
              </w:rPr>
              <w:t>等实质性要求</w:t>
            </w:r>
          </w:p>
        </w:tc>
        <w:tc>
          <w:tcPr>
            <w:tcW w:w="1371" w:type="pct"/>
            <w:vAlign w:val="center"/>
          </w:tcPr>
          <w:p w14:paraId="374BEDB1">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5CCB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1F690C75">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175" w:type="pct"/>
            <w:vAlign w:val="center"/>
          </w:tcPr>
          <w:p w14:paraId="6063A6B4">
            <w:pPr>
              <w:spacing w:after="50" w:line="360" w:lineRule="auto"/>
              <w:ind w:right="-1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964" w:type="pct"/>
            <w:vAlign w:val="center"/>
          </w:tcPr>
          <w:p w14:paraId="49F1CC9D">
            <w:pPr>
              <w:spacing w:after="50" w:line="360" w:lineRule="auto"/>
              <w:ind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371" w:type="pct"/>
            <w:vAlign w:val="center"/>
          </w:tcPr>
          <w:p w14:paraId="08777ED2">
            <w:pPr>
              <w:adjustRightInd w:val="0"/>
              <w:snapToGrid w:val="0"/>
              <w:spacing w:line="360" w:lineRule="auto"/>
              <w:ind w:right="-10"/>
              <w:jc w:val="center"/>
              <w:outlineLvl w:val="9"/>
              <w:rPr>
                <w:rFonts w:asciiTheme="minorEastAsia" w:hAnsiTheme="minorEastAsia" w:eastAsiaTheme="minorEastAsia"/>
                <w:color w:val="auto"/>
                <w:sz w:val="24"/>
                <w:highlight w:val="none"/>
              </w:rPr>
            </w:pPr>
          </w:p>
        </w:tc>
      </w:tr>
    </w:tbl>
    <w:p w14:paraId="12F8F6E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049418D9">
      <w:pPr>
        <w:spacing w:line="360" w:lineRule="auto"/>
        <w:ind w:firstLine="437"/>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6896D354">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7F08316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90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10</w:t>
      </w:r>
      <w:r>
        <w:rPr>
          <w:rFonts w:asciiTheme="minorEastAsia" w:hAnsiTheme="minorEastAsia" w:eastAsiaTheme="minorEastAsia"/>
          <w:color w:val="auto"/>
          <w:sz w:val="24"/>
          <w:highlight w:val="none"/>
        </w:rPr>
        <w:t>%。具体评分细则如下：</w:t>
      </w:r>
    </w:p>
    <w:tbl>
      <w:tblPr>
        <w:tblStyle w:val="24"/>
        <w:tblW w:w="5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516"/>
        <w:gridCol w:w="5581"/>
        <w:gridCol w:w="1180"/>
      </w:tblGrid>
      <w:tr w14:paraId="5B0D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4" w:type="pct"/>
            <w:tcBorders>
              <w:top w:val="single" w:color="auto" w:sz="4" w:space="0"/>
              <w:left w:val="single" w:color="auto" w:sz="4" w:space="0"/>
              <w:bottom w:val="single" w:color="auto" w:sz="4" w:space="0"/>
              <w:right w:val="single" w:color="auto" w:sz="4" w:space="0"/>
            </w:tcBorders>
            <w:vAlign w:val="center"/>
          </w:tcPr>
          <w:p w14:paraId="0B8293D1">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792" w:type="pct"/>
            <w:tcBorders>
              <w:top w:val="single" w:color="auto" w:sz="4" w:space="0"/>
              <w:left w:val="single" w:color="auto" w:sz="4" w:space="0"/>
              <w:bottom w:val="single" w:color="auto" w:sz="4" w:space="0"/>
              <w:right w:val="single" w:color="auto" w:sz="4" w:space="0"/>
            </w:tcBorders>
            <w:vAlign w:val="center"/>
          </w:tcPr>
          <w:p w14:paraId="4952CED9">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916" w:type="pct"/>
            <w:tcBorders>
              <w:top w:val="single" w:color="auto" w:sz="4" w:space="0"/>
              <w:left w:val="single" w:color="auto" w:sz="4" w:space="0"/>
              <w:bottom w:val="single" w:color="auto" w:sz="4" w:space="0"/>
              <w:right w:val="single" w:color="auto" w:sz="4" w:space="0"/>
            </w:tcBorders>
            <w:vAlign w:val="center"/>
          </w:tcPr>
          <w:p w14:paraId="26C05699">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616" w:type="pct"/>
            <w:tcBorders>
              <w:top w:val="single" w:color="auto" w:sz="4" w:space="0"/>
              <w:left w:val="single" w:color="auto" w:sz="4" w:space="0"/>
              <w:bottom w:val="single" w:color="auto" w:sz="4" w:space="0"/>
              <w:right w:val="single" w:color="auto" w:sz="4" w:space="0"/>
            </w:tcBorders>
            <w:vAlign w:val="center"/>
          </w:tcPr>
          <w:p w14:paraId="1BDFE6E4">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171F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pct"/>
            <w:vMerge w:val="restart"/>
            <w:tcBorders>
              <w:top w:val="single" w:color="auto" w:sz="4" w:space="0"/>
              <w:left w:val="single" w:color="auto" w:sz="4" w:space="0"/>
              <w:right w:val="single" w:color="auto" w:sz="4" w:space="0"/>
            </w:tcBorders>
            <w:vAlign w:val="center"/>
          </w:tcPr>
          <w:p w14:paraId="165EC8BD">
            <w:pPr>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资信分</w:t>
            </w:r>
          </w:p>
          <w:p w14:paraId="35334342">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rPr>
              <w:t>分）</w:t>
            </w:r>
          </w:p>
        </w:tc>
        <w:tc>
          <w:tcPr>
            <w:tcW w:w="4325" w:type="pct"/>
            <w:gridSpan w:val="3"/>
            <w:tcBorders>
              <w:top w:val="single" w:color="auto" w:sz="4" w:space="0"/>
              <w:left w:val="single" w:color="auto" w:sz="4" w:space="0"/>
              <w:bottom w:val="single" w:color="auto" w:sz="4" w:space="0"/>
              <w:right w:val="single" w:color="auto" w:sz="4" w:space="0"/>
            </w:tcBorders>
            <w:vAlign w:val="center"/>
          </w:tcPr>
          <w:p w14:paraId="60252095">
            <w:pPr>
              <w:spacing w:line="360" w:lineRule="auto"/>
              <w:jc w:val="center"/>
              <w:outlineLvl w:val="9"/>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资信标评审</w:t>
            </w:r>
          </w:p>
        </w:tc>
      </w:tr>
      <w:tr w14:paraId="51F6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532CB03C">
            <w:pPr>
              <w:spacing w:line="360" w:lineRule="auto"/>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3576B354">
            <w:pPr>
              <w:widowControl/>
              <w:adjustRightInd w:val="0"/>
              <w:snapToGrid w:val="0"/>
              <w:spacing w:line="360" w:lineRule="auto"/>
              <w:jc w:val="center"/>
              <w:outlineLvl w:val="9"/>
              <w:rPr>
                <w:rFonts w:asciiTheme="minorEastAsia" w:hAnsiTheme="minorEastAsia" w:eastAsiaTheme="minorEastAsia"/>
                <w:bCs/>
                <w:color w:val="auto"/>
                <w:sz w:val="24"/>
                <w:highlight w:val="none"/>
              </w:rPr>
            </w:pPr>
            <w:r>
              <w:rPr>
                <w:rFonts w:hint="eastAsia" w:ascii="宋体" w:hAnsi="宋体" w:eastAsia="宋体" w:cs="宋体"/>
                <w:color w:val="auto"/>
                <w:kern w:val="0"/>
                <w:sz w:val="24"/>
                <w:highlight w:val="none"/>
              </w:rPr>
              <w:t>业绩经验</w:t>
            </w:r>
          </w:p>
        </w:tc>
        <w:tc>
          <w:tcPr>
            <w:tcW w:w="2916" w:type="pct"/>
            <w:tcBorders>
              <w:top w:val="single" w:color="auto" w:sz="4" w:space="0"/>
              <w:left w:val="single" w:color="auto" w:sz="4" w:space="0"/>
              <w:bottom w:val="single" w:color="auto" w:sz="4" w:space="0"/>
              <w:right w:val="single" w:color="auto" w:sz="4" w:space="0"/>
            </w:tcBorders>
            <w:vAlign w:val="center"/>
          </w:tcPr>
          <w:p w14:paraId="7A3EA0E5">
            <w:pPr>
              <w:widowControl/>
              <w:adjustRightInd w:val="0"/>
              <w:snapToGri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有从事校医院工作</w:t>
            </w:r>
            <w:r>
              <w:rPr>
                <w:rFonts w:hint="eastAsia" w:ascii="宋体" w:hAnsi="宋体" w:eastAsia="宋体" w:cs="宋体"/>
                <w:color w:val="auto"/>
                <w:kern w:val="0"/>
                <w:sz w:val="24"/>
                <w:highlight w:val="none"/>
                <w:lang w:val="en-US" w:eastAsia="zh-CN"/>
              </w:rPr>
              <w:t>不少于</w:t>
            </w:r>
            <w:r>
              <w:rPr>
                <w:rFonts w:hint="eastAsia" w:ascii="宋体" w:hAnsi="宋体" w:eastAsia="宋体" w:cs="宋体"/>
                <w:color w:val="auto"/>
                <w:kern w:val="0"/>
                <w:sz w:val="24"/>
                <w:highlight w:val="none"/>
              </w:rPr>
              <w:t>二年经验的医疗机构得5分，</w:t>
            </w:r>
            <w:r>
              <w:rPr>
                <w:rFonts w:hint="eastAsia" w:ascii="宋体" w:hAnsi="宋体" w:eastAsia="宋体" w:cs="宋体"/>
                <w:color w:val="auto"/>
                <w:kern w:val="0"/>
                <w:sz w:val="24"/>
                <w:highlight w:val="none"/>
                <w:lang w:val="en-US" w:eastAsia="zh-CN"/>
              </w:rPr>
              <w:t>一年到两年经验的3分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不足</w:t>
            </w:r>
            <w:r>
              <w:rPr>
                <w:rFonts w:hint="eastAsia" w:ascii="宋体" w:hAnsi="宋体" w:eastAsia="宋体" w:cs="宋体"/>
                <w:color w:val="auto"/>
                <w:kern w:val="0"/>
                <w:sz w:val="24"/>
                <w:highlight w:val="none"/>
                <w:lang w:val="en-US" w:eastAsia="zh-CN"/>
              </w:rPr>
              <w:t>一年</w:t>
            </w:r>
            <w:r>
              <w:rPr>
                <w:rFonts w:hint="eastAsia" w:ascii="宋体" w:hAnsi="宋体" w:eastAsia="宋体" w:cs="宋体"/>
                <w:color w:val="auto"/>
                <w:kern w:val="0"/>
                <w:sz w:val="24"/>
                <w:highlight w:val="none"/>
              </w:rPr>
              <w:t>的不得分。</w:t>
            </w:r>
          </w:p>
          <w:p w14:paraId="114E8709">
            <w:pPr>
              <w:widowControl/>
              <w:adjustRightInd w:val="0"/>
              <w:snapToGrid w:val="0"/>
              <w:spacing w:line="360" w:lineRule="auto"/>
              <w:jc w:val="left"/>
              <w:outlineLvl w:val="9"/>
              <w:rPr>
                <w:rFonts w:hint="eastAsia" w:eastAsia="宋体" w:asciiTheme="minorEastAsia" w:hAnsiTheme="minorEastAsia"/>
                <w:bCs/>
                <w:color w:val="auto"/>
                <w:sz w:val="24"/>
                <w:highlight w:val="none"/>
                <w:lang w:eastAsia="zh-CN"/>
              </w:rPr>
            </w:pPr>
            <w:r>
              <w:rPr>
                <w:rFonts w:hint="eastAsia" w:ascii="宋体" w:hAnsi="宋体" w:eastAsia="宋体" w:cs="宋体"/>
                <w:b/>
                <w:bCs/>
                <w:color w:val="auto"/>
                <w:kern w:val="0"/>
                <w:sz w:val="24"/>
                <w:highlight w:val="none"/>
              </w:rPr>
              <w:t>注：评审业绩证明材料投标人须提供合同原件复印件加盖投标人的公章，否则所对应项不得分。</w:t>
            </w:r>
          </w:p>
        </w:tc>
        <w:tc>
          <w:tcPr>
            <w:tcW w:w="616" w:type="pct"/>
            <w:tcBorders>
              <w:top w:val="single" w:color="auto" w:sz="4" w:space="0"/>
              <w:left w:val="single" w:color="auto" w:sz="4" w:space="0"/>
              <w:bottom w:val="single" w:color="auto" w:sz="4" w:space="0"/>
              <w:right w:val="single" w:color="auto" w:sz="4" w:space="0"/>
            </w:tcBorders>
            <w:vAlign w:val="center"/>
          </w:tcPr>
          <w:p w14:paraId="0C133726">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0-5</w:t>
            </w:r>
            <w:r>
              <w:rPr>
                <w:rFonts w:hint="eastAsia" w:asciiTheme="minorEastAsia" w:hAnsiTheme="minorEastAsia" w:eastAsiaTheme="minorEastAsia"/>
                <w:b/>
                <w:bCs/>
                <w:color w:val="auto"/>
                <w:sz w:val="24"/>
                <w:highlight w:val="none"/>
                <w:lang w:val="en-US"/>
              </w:rPr>
              <w:t>分</w:t>
            </w:r>
          </w:p>
        </w:tc>
      </w:tr>
      <w:tr w14:paraId="7C81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9" w:hRule="atLeast"/>
          <w:jc w:val="center"/>
        </w:trPr>
        <w:tc>
          <w:tcPr>
            <w:tcW w:w="674" w:type="pct"/>
            <w:vMerge w:val="continue"/>
            <w:tcBorders>
              <w:left w:val="single" w:color="auto" w:sz="4" w:space="0"/>
              <w:right w:val="single" w:color="auto" w:sz="4" w:space="0"/>
            </w:tcBorders>
            <w:vAlign w:val="center"/>
          </w:tcPr>
          <w:p w14:paraId="6E82D4B7">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right w:val="single" w:color="auto" w:sz="4" w:space="0"/>
            </w:tcBorders>
            <w:vAlign w:val="center"/>
          </w:tcPr>
          <w:p w14:paraId="032A1777">
            <w:pPr>
              <w:widowControl/>
              <w:adjustRightInd w:val="0"/>
              <w:snapToGrid w:val="0"/>
              <w:spacing w:line="360" w:lineRule="auto"/>
              <w:jc w:val="left"/>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社区卫生服务</w:t>
            </w:r>
          </w:p>
        </w:tc>
        <w:tc>
          <w:tcPr>
            <w:tcW w:w="2916" w:type="pct"/>
            <w:tcBorders>
              <w:top w:val="single" w:color="auto" w:sz="4" w:space="0"/>
              <w:left w:val="single" w:color="auto" w:sz="4" w:space="0"/>
              <w:right w:val="single" w:color="auto" w:sz="4" w:space="0"/>
            </w:tcBorders>
            <w:vAlign w:val="center"/>
          </w:tcPr>
          <w:p w14:paraId="7515C04E">
            <w:pPr>
              <w:widowControl/>
              <w:adjustRightInd w:val="0"/>
              <w:snapToGri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1.能够承担社区卫生服务的医疗机构</w:t>
            </w:r>
            <w:r>
              <w:rPr>
                <w:rFonts w:hint="eastAsia" w:ascii="宋体" w:hAnsi="宋体" w:eastAsia="宋体" w:cs="宋体"/>
                <w:color w:val="auto"/>
                <w:kern w:val="0"/>
                <w:sz w:val="24"/>
                <w:highlight w:val="none"/>
                <w:lang w:val="en-US" w:eastAsia="zh-CN"/>
              </w:rPr>
              <w:t>资格</w:t>
            </w:r>
            <w:r>
              <w:rPr>
                <w:rFonts w:hint="eastAsia" w:ascii="宋体" w:hAnsi="宋体" w:eastAsia="宋体" w:cs="宋体"/>
                <w:color w:val="auto"/>
                <w:kern w:val="0"/>
                <w:sz w:val="24"/>
                <w:highlight w:val="none"/>
              </w:rPr>
              <w:t>及至少两医一护有职业医师资质证书及护士医务人员资</w:t>
            </w:r>
            <w:r>
              <w:rPr>
                <w:rFonts w:hint="eastAsia" w:ascii="宋体" w:hAnsi="宋体" w:eastAsia="宋体" w:cs="宋体"/>
                <w:color w:val="auto"/>
                <w:kern w:val="0"/>
                <w:sz w:val="24"/>
                <w:highlight w:val="none"/>
                <w:lang w:val="en-US" w:eastAsia="zh-CN"/>
              </w:rPr>
              <w:t>格</w:t>
            </w:r>
            <w:r>
              <w:rPr>
                <w:rFonts w:hint="eastAsia" w:ascii="宋体" w:hAnsi="宋体" w:eastAsia="宋体" w:cs="宋体"/>
                <w:color w:val="auto"/>
                <w:kern w:val="0"/>
                <w:sz w:val="24"/>
                <w:highlight w:val="none"/>
              </w:rPr>
              <w:t>相关材料，得</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分；</w:t>
            </w:r>
          </w:p>
          <w:p w14:paraId="38FE416C">
            <w:pPr>
              <w:widowControl/>
              <w:adjustRightInd w:val="0"/>
              <w:snapToGrid w:val="0"/>
              <w:spacing w:line="360" w:lineRule="auto"/>
              <w:jc w:val="left"/>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2.有从事学校医务室经历并有建立学生健康档案管理经验的，得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分；（每提供1</w:t>
            </w:r>
            <w:r>
              <w:rPr>
                <w:rFonts w:hint="eastAsia" w:ascii="宋体" w:hAnsi="宋体" w:eastAsia="宋体" w:cs="宋体"/>
                <w:color w:val="auto"/>
                <w:kern w:val="0"/>
                <w:sz w:val="24"/>
                <w:highlight w:val="none"/>
                <w:lang w:val="en-US" w:eastAsia="zh-CN"/>
              </w:rPr>
              <w:t>份</w:t>
            </w:r>
            <w:r>
              <w:rPr>
                <w:rFonts w:hint="eastAsia" w:ascii="宋体" w:hAnsi="宋体" w:eastAsia="宋体" w:cs="宋体"/>
                <w:color w:val="auto"/>
                <w:kern w:val="0"/>
                <w:sz w:val="24"/>
                <w:highlight w:val="none"/>
              </w:rPr>
              <w:t>合同，得</w:t>
            </w:r>
            <w:r>
              <w:rPr>
                <w:rFonts w:hint="eastAsia" w:ascii="宋体" w:hAnsi="宋体" w:eastAsia="宋体" w:cs="宋体"/>
                <w:color w:val="auto"/>
                <w:kern w:val="0"/>
                <w:sz w:val="24"/>
                <w:highlight w:val="none"/>
                <w:lang w:val="en-US" w:eastAsia="zh-CN"/>
              </w:rPr>
              <w:t>2.5</w:t>
            </w:r>
            <w:r>
              <w:rPr>
                <w:rFonts w:hint="eastAsia" w:ascii="宋体" w:hAnsi="宋体" w:eastAsia="宋体" w:cs="宋体"/>
                <w:color w:val="auto"/>
                <w:kern w:val="0"/>
                <w:sz w:val="24"/>
                <w:highlight w:val="none"/>
              </w:rPr>
              <w:t>分；最高得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p w14:paraId="7F29F3DA">
            <w:pPr>
              <w:widowControl/>
              <w:adjustRightInd w:val="0"/>
              <w:snapToGri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3.能够组织承担建立好新生入学体检并建好档案的；（注：学生体检费按教育部门指导价执行，另行招标。）得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分。（每提供1</w:t>
            </w:r>
            <w:r>
              <w:rPr>
                <w:rFonts w:hint="eastAsia" w:ascii="宋体" w:hAnsi="宋体" w:eastAsia="宋体" w:cs="宋体"/>
                <w:color w:val="auto"/>
                <w:kern w:val="0"/>
                <w:sz w:val="24"/>
                <w:highlight w:val="none"/>
                <w:lang w:val="en-US" w:eastAsia="zh-CN"/>
              </w:rPr>
              <w:t>份</w:t>
            </w:r>
            <w:r>
              <w:rPr>
                <w:rFonts w:hint="eastAsia" w:ascii="宋体" w:hAnsi="宋体" w:eastAsia="宋体" w:cs="宋体"/>
                <w:color w:val="auto"/>
                <w:kern w:val="0"/>
                <w:sz w:val="24"/>
                <w:highlight w:val="none"/>
              </w:rPr>
              <w:t>合同及对应不同年份的部分新生入学体检表档案原件样本的得</w:t>
            </w:r>
            <w:r>
              <w:rPr>
                <w:rFonts w:hint="eastAsia" w:ascii="宋体" w:hAnsi="宋体" w:eastAsia="宋体" w:cs="宋体"/>
                <w:color w:val="auto"/>
                <w:kern w:val="0"/>
                <w:sz w:val="24"/>
                <w:highlight w:val="none"/>
                <w:lang w:val="en-US" w:eastAsia="zh-CN"/>
              </w:rPr>
              <w:t>2.5</w:t>
            </w:r>
            <w:r>
              <w:rPr>
                <w:rFonts w:hint="eastAsia" w:ascii="宋体" w:hAnsi="宋体" w:eastAsia="宋体" w:cs="宋体"/>
                <w:color w:val="auto"/>
                <w:kern w:val="0"/>
                <w:sz w:val="24"/>
                <w:highlight w:val="none"/>
              </w:rPr>
              <w:t>分，最高得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p w14:paraId="5552F420">
            <w:pPr>
              <w:widowControl/>
              <w:adjustRightInd w:val="0"/>
              <w:snapToGri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注：上述所提供合同及体检表档案、为近二年学校服务合同及对应年限部分学生入学体检档案。</w:t>
            </w:r>
          </w:p>
        </w:tc>
        <w:tc>
          <w:tcPr>
            <w:tcW w:w="616" w:type="pct"/>
            <w:tcBorders>
              <w:top w:val="single" w:color="auto" w:sz="4" w:space="0"/>
              <w:left w:val="single" w:color="auto" w:sz="4" w:space="0"/>
              <w:right w:val="single" w:color="auto" w:sz="4" w:space="0"/>
            </w:tcBorders>
            <w:vAlign w:val="center"/>
          </w:tcPr>
          <w:p w14:paraId="3F33DA1A">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0-25</w:t>
            </w:r>
            <w:r>
              <w:rPr>
                <w:rFonts w:hint="eastAsia" w:asciiTheme="minorEastAsia" w:hAnsiTheme="minorEastAsia" w:eastAsiaTheme="minorEastAsia"/>
                <w:b/>
                <w:bCs/>
                <w:color w:val="auto"/>
                <w:sz w:val="24"/>
                <w:highlight w:val="none"/>
                <w:lang w:val="en-US"/>
              </w:rPr>
              <w:t>分</w:t>
            </w:r>
          </w:p>
        </w:tc>
      </w:tr>
      <w:tr w14:paraId="414F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restart"/>
            <w:tcBorders>
              <w:left w:val="single" w:color="auto" w:sz="4" w:space="0"/>
              <w:right w:val="single" w:color="auto" w:sz="4" w:space="0"/>
            </w:tcBorders>
            <w:vAlign w:val="center"/>
          </w:tcPr>
          <w:p w14:paraId="0C6C9F1F">
            <w:pPr>
              <w:widowControl/>
              <w:adjustRightInd w:val="0"/>
              <w:snapToGrid w:val="0"/>
              <w:spacing w:line="360" w:lineRule="auto"/>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技术分</w:t>
            </w:r>
          </w:p>
          <w:p w14:paraId="67C8A1D7">
            <w:pPr>
              <w:widowControl/>
              <w:adjustRightInd w:val="0"/>
              <w:snapToGrid w:val="0"/>
              <w:spacing w:line="360" w:lineRule="auto"/>
              <w:jc w:val="center"/>
              <w:outlineLvl w:val="9"/>
              <w:rPr>
                <w:rFonts w:asciiTheme="minorEastAsia" w:hAnsiTheme="minorEastAsia" w:eastAsiaTheme="minorEastAsia"/>
                <w:b/>
                <w:bCs/>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60</w:t>
            </w:r>
            <w:r>
              <w:rPr>
                <w:rFonts w:hint="eastAsia" w:ascii="宋体" w:hAnsi="宋体" w:eastAsia="宋体" w:cs="宋体"/>
                <w:color w:val="auto"/>
                <w:kern w:val="0"/>
                <w:sz w:val="24"/>
                <w:highlight w:val="none"/>
              </w:rPr>
              <w:t>分）</w:t>
            </w:r>
          </w:p>
        </w:tc>
        <w:tc>
          <w:tcPr>
            <w:tcW w:w="4325" w:type="pct"/>
            <w:gridSpan w:val="3"/>
            <w:tcBorders>
              <w:top w:val="single" w:color="auto" w:sz="4" w:space="0"/>
              <w:left w:val="single" w:color="auto" w:sz="4" w:space="0"/>
              <w:bottom w:val="single" w:color="auto" w:sz="4" w:space="0"/>
              <w:right w:val="single" w:color="auto" w:sz="4" w:space="0"/>
            </w:tcBorders>
            <w:vAlign w:val="center"/>
          </w:tcPr>
          <w:p w14:paraId="6ECBE899">
            <w:pPr>
              <w:spacing w:line="360" w:lineRule="auto"/>
              <w:jc w:val="center"/>
              <w:outlineLvl w:val="9"/>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技术标评审</w:t>
            </w:r>
          </w:p>
        </w:tc>
      </w:tr>
      <w:tr w14:paraId="65FF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44DE7E61">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7A882ECF">
            <w:pPr>
              <w:widowControl/>
              <w:adjustRightInd w:val="0"/>
              <w:snapToGri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服务方案</w:t>
            </w:r>
          </w:p>
        </w:tc>
        <w:tc>
          <w:tcPr>
            <w:tcW w:w="2916" w:type="pct"/>
            <w:tcBorders>
              <w:top w:val="single" w:color="auto" w:sz="4" w:space="0"/>
              <w:left w:val="single" w:color="auto" w:sz="4" w:space="0"/>
              <w:bottom w:val="single" w:color="auto" w:sz="4" w:space="0"/>
              <w:right w:val="single" w:color="auto" w:sz="4" w:space="0"/>
            </w:tcBorders>
            <w:vAlign w:val="center"/>
          </w:tcPr>
          <w:p w14:paraId="2B3C9BF0">
            <w:pPr>
              <w:widowControl/>
              <w:adjustRightInd w:val="0"/>
              <w:snapToGri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方案包括服务人员（提供至少两医一护有全科医师资质及护士医务人员资质对应的24小时值班方案）、值班制度、服务内容、常见药品与社区医疗机构同价的价目表、承诺中标后能无偿保障学校组织的军训、技能大赛、体育赛事、应急演练等集体活动的医疗保障等，评标委员会对比各投标人的服务方案内容，进行综合评价：</w:t>
            </w:r>
          </w:p>
          <w:p w14:paraId="1C6FD170">
            <w:pPr>
              <w:widowControl/>
              <w:adjustRightInd w:val="0"/>
              <w:snapToGri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内容具体详细、目标明确的得30分；内容较具体详细、目标较清晰的得20分；内容简单、目标不明确的得10分；没有不得分。</w:t>
            </w:r>
          </w:p>
        </w:tc>
        <w:tc>
          <w:tcPr>
            <w:tcW w:w="616" w:type="pct"/>
            <w:tcBorders>
              <w:top w:val="single" w:color="auto" w:sz="4" w:space="0"/>
              <w:left w:val="single" w:color="auto" w:sz="4" w:space="0"/>
              <w:bottom w:val="single" w:color="auto" w:sz="4" w:space="0"/>
              <w:right w:val="single" w:color="auto" w:sz="4" w:space="0"/>
            </w:tcBorders>
            <w:vAlign w:val="center"/>
          </w:tcPr>
          <w:p w14:paraId="6B88F91C">
            <w:pPr>
              <w:widowControl/>
              <w:adjustRightInd w:val="0"/>
              <w:snapToGrid w:val="0"/>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0-30</w:t>
            </w:r>
            <w:r>
              <w:rPr>
                <w:rFonts w:hint="eastAsia" w:asciiTheme="minorEastAsia" w:hAnsiTheme="minorEastAsia" w:eastAsiaTheme="minorEastAsia"/>
                <w:b/>
                <w:bCs/>
                <w:color w:val="auto"/>
                <w:sz w:val="24"/>
                <w:highlight w:val="none"/>
                <w:lang w:val="en-US"/>
              </w:rPr>
              <w:t>分</w:t>
            </w:r>
          </w:p>
        </w:tc>
      </w:tr>
      <w:tr w14:paraId="537D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73274159">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5E520E46">
            <w:pPr>
              <w:widowControl/>
              <w:adjustRightInd w:val="0"/>
              <w:snapToGri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健康档案管理服务方案</w:t>
            </w:r>
          </w:p>
        </w:tc>
        <w:tc>
          <w:tcPr>
            <w:tcW w:w="2916" w:type="pct"/>
            <w:tcBorders>
              <w:top w:val="single" w:color="auto" w:sz="4" w:space="0"/>
              <w:left w:val="single" w:color="auto" w:sz="4" w:space="0"/>
              <w:bottom w:val="single" w:color="auto" w:sz="4" w:space="0"/>
              <w:right w:val="single" w:color="auto" w:sz="4" w:space="0"/>
            </w:tcBorders>
            <w:vAlign w:val="center"/>
          </w:tcPr>
          <w:p w14:paraId="4A1EFBCB">
            <w:pPr>
              <w:widowControl/>
              <w:adjustRightInd w:val="0"/>
              <w:snapToGri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根据重大疾病隐患提醒、复查服务、健康档案管理与交送、药品零差价（常见药品零差价表）、服务费承诺表（如：吊水单价，换药单价等）等配套服务情况对比各投标人综合评价：</w:t>
            </w:r>
          </w:p>
          <w:p w14:paraId="6C91929B">
            <w:pPr>
              <w:widowControl/>
              <w:adjustRightInd w:val="0"/>
              <w:snapToGri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方案依据全面，针对性强的得30分，方案依据较全面，针对性有待完善的得20分，方案依据不全面，针对性较差的得10分；没有不得分。</w:t>
            </w:r>
          </w:p>
        </w:tc>
        <w:tc>
          <w:tcPr>
            <w:tcW w:w="616" w:type="pct"/>
            <w:tcBorders>
              <w:top w:val="single" w:color="auto" w:sz="4" w:space="0"/>
              <w:left w:val="single" w:color="auto" w:sz="4" w:space="0"/>
              <w:bottom w:val="single" w:color="auto" w:sz="4" w:space="0"/>
              <w:right w:val="single" w:color="auto" w:sz="4" w:space="0"/>
            </w:tcBorders>
            <w:vAlign w:val="center"/>
          </w:tcPr>
          <w:p w14:paraId="17EEA58B">
            <w:pPr>
              <w:widowControl/>
              <w:adjustRightInd w:val="0"/>
              <w:snapToGrid w:val="0"/>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0-30</w:t>
            </w:r>
            <w:r>
              <w:rPr>
                <w:rFonts w:hint="eastAsia" w:asciiTheme="minorEastAsia" w:hAnsiTheme="minorEastAsia" w:eastAsiaTheme="minorEastAsia"/>
                <w:b/>
                <w:bCs/>
                <w:color w:val="auto"/>
                <w:sz w:val="24"/>
                <w:highlight w:val="none"/>
                <w:lang w:val="en-US"/>
              </w:rPr>
              <w:t>分</w:t>
            </w:r>
          </w:p>
        </w:tc>
      </w:tr>
      <w:tr w14:paraId="506A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tcBorders>
              <w:left w:val="single" w:color="auto" w:sz="4" w:space="0"/>
              <w:right w:val="single" w:color="auto" w:sz="4" w:space="0"/>
            </w:tcBorders>
            <w:vAlign w:val="center"/>
          </w:tcPr>
          <w:p w14:paraId="04929232">
            <w:pPr>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5CC320AD">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rPr>
              <w:t>分）</w:t>
            </w:r>
          </w:p>
        </w:tc>
        <w:tc>
          <w:tcPr>
            <w:tcW w:w="4325" w:type="pct"/>
            <w:gridSpan w:val="3"/>
            <w:tcBorders>
              <w:top w:val="single" w:color="auto" w:sz="4" w:space="0"/>
              <w:left w:val="single" w:color="auto" w:sz="4" w:space="0"/>
              <w:bottom w:val="single" w:color="auto" w:sz="4" w:space="0"/>
              <w:right w:val="single" w:color="auto" w:sz="4" w:space="0"/>
            </w:tcBorders>
            <w:vAlign w:val="center"/>
          </w:tcPr>
          <w:p w14:paraId="3CDE977B">
            <w:pPr>
              <w:spacing w:line="360" w:lineRule="auto"/>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rPr>
              <w:t>分。其他投标人的价格分统一按照下列公式计算：投标报价得分＝（评标基准价/投标报价）×</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rPr>
              <w:t>％×100</w:t>
            </w:r>
          </w:p>
        </w:tc>
      </w:tr>
    </w:tbl>
    <w:p w14:paraId="35C2D088">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3509EF0F">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0579D41E">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r>
        <w:rPr>
          <w:rFonts w:asciiTheme="minorEastAsia" w:hAnsiTheme="minorEastAsia" w:eastAsiaTheme="minorEastAsia"/>
          <w:color w:val="auto"/>
          <w:sz w:val="24"/>
          <w:highlight w:val="none"/>
        </w:rPr>
        <w:br w:type="page"/>
      </w:r>
    </w:p>
    <w:p w14:paraId="7DEE87B6">
      <w:pPr>
        <w:spacing w:line="360" w:lineRule="auto"/>
        <w:jc w:val="center"/>
        <w:outlineLvl w:val="0"/>
        <w:rPr>
          <w:rFonts w:hint="eastAsia" w:asciiTheme="minorEastAsia" w:hAnsiTheme="minorEastAsia" w:eastAsiaTheme="minorEastAsia"/>
          <w:b/>
          <w:color w:val="auto"/>
          <w:sz w:val="28"/>
          <w:highlight w:val="none"/>
          <w:lang w:eastAsia="zh-CN"/>
        </w:rPr>
      </w:pPr>
      <w:bookmarkStart w:id="12" w:name="_Toc13673"/>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采购合同</w:t>
      </w:r>
      <w:bookmarkEnd w:id="12"/>
    </w:p>
    <w:p w14:paraId="07E867ED">
      <w:pPr>
        <w:widowControl/>
        <w:spacing w:line="276" w:lineRule="auto"/>
        <w:ind w:left="360"/>
        <w:jc w:val="center"/>
        <w:textAlignment w:val="baseline"/>
        <w:outlineLvl w:val="1"/>
        <w:rPr>
          <w:rFonts w:hint="eastAsia" w:ascii="黑体" w:eastAsia="黑体"/>
          <w:b/>
          <w:color w:val="000000"/>
          <w:sz w:val="30"/>
          <w:szCs w:val="30"/>
          <w:highlight w:val="none"/>
        </w:rPr>
      </w:pPr>
      <w:bookmarkStart w:id="13" w:name="_Toc132960538"/>
      <w:bookmarkStart w:id="14" w:name="_Toc23234685"/>
      <w:bookmarkStart w:id="15" w:name="_Toc2242918"/>
      <w:r>
        <w:rPr>
          <w:rFonts w:hint="eastAsia" w:ascii="宋体"/>
          <w:b/>
          <w:color w:val="000000"/>
          <w:sz w:val="30"/>
          <w:szCs w:val="30"/>
          <w:highlight w:val="none"/>
        </w:rPr>
        <w:t>一、合同协议书（格式）</w:t>
      </w:r>
      <w:bookmarkEnd w:id="13"/>
    </w:p>
    <w:bookmarkEnd w:id="14"/>
    <w:bookmarkEnd w:id="15"/>
    <w:p w14:paraId="518B1C12">
      <w:pPr>
        <w:jc w:val="center"/>
        <w:rPr>
          <w:rFonts w:hint="eastAsia"/>
          <w:sz w:val="44"/>
          <w:szCs w:val="44"/>
          <w:highlight w:val="none"/>
        </w:rPr>
      </w:pPr>
      <w:r>
        <w:rPr>
          <w:rFonts w:hint="eastAsia"/>
          <w:sz w:val="44"/>
          <w:szCs w:val="44"/>
          <w:highlight w:val="none"/>
        </w:rPr>
        <w:t>合   同   书</w:t>
      </w:r>
    </w:p>
    <w:p w14:paraId="5E5615F8">
      <w:pPr>
        <w:rPr>
          <w:rFonts w:hint="eastAsia"/>
          <w:sz w:val="28"/>
          <w:szCs w:val="28"/>
          <w:highlight w:val="none"/>
        </w:rPr>
      </w:pPr>
    </w:p>
    <w:p w14:paraId="1B4EB7D2">
      <w:pPr>
        <w:rPr>
          <w:rFonts w:hint="eastAsia"/>
          <w:sz w:val="28"/>
          <w:szCs w:val="28"/>
          <w:highlight w:val="none"/>
        </w:rPr>
      </w:pPr>
      <w:r>
        <w:rPr>
          <w:rFonts w:hint="eastAsia"/>
          <w:sz w:val="28"/>
          <w:szCs w:val="28"/>
          <w:highlight w:val="none"/>
        </w:rPr>
        <w:t>甲方：</w:t>
      </w:r>
    </w:p>
    <w:p w14:paraId="27926A47">
      <w:pPr>
        <w:rPr>
          <w:rFonts w:hint="eastAsia" w:eastAsia="宋体"/>
          <w:sz w:val="28"/>
          <w:szCs w:val="28"/>
          <w:highlight w:val="none"/>
          <w:lang w:eastAsia="zh-CN"/>
        </w:rPr>
      </w:pPr>
      <w:r>
        <w:rPr>
          <w:rFonts w:hint="eastAsia"/>
          <w:sz w:val="28"/>
          <w:szCs w:val="28"/>
          <w:highlight w:val="none"/>
        </w:rPr>
        <w:t>乙方：</w:t>
      </w:r>
    </w:p>
    <w:p w14:paraId="606EF1E6">
      <w:pPr>
        <w:ind w:firstLine="560" w:firstLineChars="200"/>
        <w:rPr>
          <w:rFonts w:hint="eastAsia"/>
          <w:sz w:val="28"/>
          <w:szCs w:val="28"/>
          <w:highlight w:val="none"/>
        </w:rPr>
      </w:pPr>
      <w:r>
        <w:rPr>
          <w:rFonts w:hint="eastAsia"/>
          <w:sz w:val="28"/>
          <w:szCs w:val="28"/>
          <w:highlight w:val="none"/>
        </w:rPr>
        <w:t>为了</w:t>
      </w:r>
      <w:r>
        <w:rPr>
          <w:rFonts w:hint="eastAsia"/>
          <w:sz w:val="28"/>
          <w:szCs w:val="28"/>
          <w:highlight w:val="none"/>
          <w:lang w:eastAsia="zh-CN"/>
        </w:rPr>
        <w:t>贯</w:t>
      </w:r>
      <w:r>
        <w:rPr>
          <w:rFonts w:hint="eastAsia"/>
          <w:sz w:val="28"/>
          <w:szCs w:val="28"/>
          <w:highlight w:val="none"/>
        </w:rPr>
        <w:t>彻落实国家教育部、卫生部联合下发的《学校卫生工作条例》，依据高校后勤社会化相关政策精神，</w:t>
      </w:r>
      <w:r>
        <w:rPr>
          <w:rFonts w:hint="eastAsia"/>
          <w:sz w:val="28"/>
          <w:szCs w:val="28"/>
          <w:highlight w:val="none"/>
          <w:lang w:eastAsia="zh-CN"/>
        </w:rPr>
        <w:t>滁州市机电工程学校（安徽滁州技师学院） 医务室服务项目于</w:t>
      </w:r>
      <w:r>
        <w:rPr>
          <w:rFonts w:hint="eastAsia"/>
          <w:sz w:val="28"/>
          <w:szCs w:val="28"/>
          <w:highlight w:val="none"/>
          <w:lang w:val="en-US" w:eastAsia="zh-CN"/>
        </w:rPr>
        <w:t xml:space="preserve">   年   月  日公开招标，由 </w:t>
      </w:r>
      <w:r>
        <w:rPr>
          <w:rFonts w:hint="eastAsia"/>
          <w:sz w:val="28"/>
          <w:szCs w:val="28"/>
          <w:highlight w:val="none"/>
          <w:u w:val="single"/>
          <w:lang w:val="en-US" w:eastAsia="zh-CN"/>
        </w:rPr>
        <w:t xml:space="preserve">         </w:t>
      </w:r>
      <w:r>
        <w:rPr>
          <w:rFonts w:hint="eastAsia"/>
          <w:sz w:val="28"/>
          <w:szCs w:val="28"/>
          <w:highlight w:val="none"/>
          <w:lang w:val="en-US" w:eastAsia="zh-CN"/>
        </w:rPr>
        <w:t xml:space="preserve"> </w:t>
      </w:r>
      <w:r>
        <w:rPr>
          <w:rFonts w:hint="eastAsia"/>
          <w:sz w:val="28"/>
          <w:szCs w:val="28"/>
          <w:highlight w:val="none"/>
          <w:lang w:eastAsia="zh-CN"/>
        </w:rPr>
        <w:t>以每年</w:t>
      </w:r>
      <w:r>
        <w:rPr>
          <w:rFonts w:hint="eastAsia"/>
          <w:sz w:val="28"/>
          <w:szCs w:val="28"/>
          <w:highlight w:val="none"/>
          <w:lang w:val="en-US" w:eastAsia="zh-CN"/>
        </w:rPr>
        <w:t xml:space="preserve">    万元服务费</w:t>
      </w:r>
      <w:r>
        <w:rPr>
          <w:rFonts w:hint="eastAsia"/>
          <w:sz w:val="28"/>
          <w:szCs w:val="28"/>
          <w:highlight w:val="none"/>
          <w:lang w:eastAsia="zh-CN"/>
        </w:rPr>
        <w:t>中标；经</w:t>
      </w:r>
      <w:r>
        <w:rPr>
          <w:rFonts w:hint="eastAsia"/>
          <w:sz w:val="28"/>
          <w:szCs w:val="28"/>
          <w:highlight w:val="none"/>
        </w:rPr>
        <w:t>双方协商，签订</w:t>
      </w:r>
      <w:r>
        <w:rPr>
          <w:rFonts w:hint="eastAsia"/>
          <w:sz w:val="28"/>
          <w:szCs w:val="28"/>
          <w:highlight w:val="none"/>
          <w:lang w:eastAsia="zh-CN"/>
        </w:rPr>
        <w:t>协议</w:t>
      </w:r>
      <w:r>
        <w:rPr>
          <w:rFonts w:hint="eastAsia"/>
          <w:sz w:val="28"/>
          <w:szCs w:val="28"/>
          <w:highlight w:val="none"/>
        </w:rPr>
        <w:t>如下：</w:t>
      </w:r>
    </w:p>
    <w:p w14:paraId="5AF294E4">
      <w:pPr>
        <w:pStyle w:val="40"/>
        <w:numPr>
          <w:ilvl w:val="0"/>
          <w:numId w:val="0"/>
        </w:numPr>
        <w:ind w:leftChars="0"/>
        <w:rPr>
          <w:rFonts w:hint="eastAsia"/>
          <w:sz w:val="28"/>
          <w:szCs w:val="28"/>
          <w:highlight w:val="none"/>
        </w:rPr>
      </w:pPr>
      <w:r>
        <w:rPr>
          <w:rFonts w:hint="eastAsia"/>
          <w:sz w:val="28"/>
          <w:szCs w:val="28"/>
          <w:highlight w:val="none"/>
          <w:lang w:val="en-US" w:eastAsia="zh-CN"/>
        </w:rPr>
        <w:t>一、</w:t>
      </w:r>
      <w:r>
        <w:rPr>
          <w:rFonts w:hint="eastAsia"/>
          <w:sz w:val="28"/>
          <w:szCs w:val="28"/>
          <w:highlight w:val="none"/>
        </w:rPr>
        <w:t>合作内容：</w:t>
      </w:r>
    </w:p>
    <w:p w14:paraId="74A4901F">
      <w:pPr>
        <w:pStyle w:val="40"/>
        <w:numPr>
          <w:ilvl w:val="0"/>
          <w:numId w:val="0"/>
        </w:numPr>
        <w:ind w:leftChars="0"/>
        <w:rPr>
          <w:rFonts w:hint="eastAsia"/>
          <w:sz w:val="28"/>
          <w:szCs w:val="28"/>
          <w:highlight w:val="none"/>
        </w:rPr>
      </w:pPr>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甲方在校区为乙方提供场所，乙方设置医疗室（</w:t>
      </w:r>
      <w:r>
        <w:rPr>
          <w:rFonts w:hint="eastAsia"/>
          <w:sz w:val="28"/>
          <w:szCs w:val="28"/>
          <w:highlight w:val="none"/>
          <w:u w:val="single"/>
          <w:lang w:val="en-US" w:eastAsia="zh-CN"/>
        </w:rPr>
        <w:t xml:space="preserve">       </w:t>
      </w:r>
      <w:r>
        <w:rPr>
          <w:rFonts w:hint="eastAsia"/>
          <w:sz w:val="28"/>
          <w:szCs w:val="28"/>
          <w:highlight w:val="none"/>
        </w:rPr>
        <w:t>）。医疗室的登记注册一切事宜和相关费用由乙方负责，甲方协助。</w:t>
      </w:r>
    </w:p>
    <w:p w14:paraId="6D4F8025">
      <w:pPr>
        <w:pStyle w:val="40"/>
        <w:numPr>
          <w:ilvl w:val="0"/>
          <w:numId w:val="0"/>
        </w:numPr>
        <w:ind w:leftChars="0"/>
        <w:rPr>
          <w:rFonts w:hint="eastAsia"/>
          <w:sz w:val="28"/>
          <w:szCs w:val="28"/>
          <w:highlight w:val="none"/>
        </w:rPr>
      </w:pPr>
      <w:r>
        <w:rPr>
          <w:rFonts w:hint="eastAsia"/>
          <w:sz w:val="28"/>
          <w:szCs w:val="28"/>
          <w:highlight w:val="none"/>
          <w:lang w:eastAsia="zh-CN"/>
        </w:rPr>
        <w:t>（</w:t>
      </w:r>
      <w:r>
        <w:rPr>
          <w:rFonts w:hint="eastAsia"/>
          <w:sz w:val="28"/>
          <w:szCs w:val="28"/>
          <w:highlight w:val="none"/>
          <w:lang w:val="en-US" w:eastAsia="zh-CN"/>
        </w:rPr>
        <w:t>二</w:t>
      </w:r>
      <w:r>
        <w:rPr>
          <w:rFonts w:hint="eastAsia"/>
          <w:sz w:val="28"/>
          <w:szCs w:val="28"/>
          <w:highlight w:val="none"/>
          <w:lang w:eastAsia="zh-CN"/>
        </w:rPr>
        <w:t>）</w:t>
      </w:r>
      <w:r>
        <w:rPr>
          <w:rFonts w:hint="eastAsia"/>
          <w:sz w:val="28"/>
          <w:szCs w:val="28"/>
          <w:highlight w:val="none"/>
        </w:rPr>
        <w:t>医疗服务站服务内容包括：</w:t>
      </w:r>
    </w:p>
    <w:p w14:paraId="3FF04853">
      <w:pPr>
        <w:pStyle w:val="40"/>
        <w:ind w:left="0" w:leftChars="0" w:firstLine="560" w:firstLineChars="200"/>
        <w:rPr>
          <w:rFonts w:hint="eastAsia" w:eastAsia="宋体"/>
          <w:sz w:val="28"/>
          <w:szCs w:val="28"/>
          <w:highlight w:val="none"/>
          <w:lang w:eastAsia="zh-CN"/>
        </w:rPr>
      </w:pPr>
      <w:r>
        <w:rPr>
          <w:rFonts w:hint="eastAsia"/>
          <w:sz w:val="28"/>
          <w:szCs w:val="28"/>
          <w:highlight w:val="none"/>
        </w:rPr>
        <w:t>学生</w:t>
      </w:r>
      <w:r>
        <w:rPr>
          <w:rFonts w:hint="eastAsia"/>
          <w:sz w:val="28"/>
          <w:szCs w:val="28"/>
          <w:highlight w:val="none"/>
          <w:lang w:eastAsia="zh-CN"/>
        </w:rPr>
        <w:t>健康监测</w:t>
      </w:r>
      <w:r>
        <w:rPr>
          <w:rFonts w:hint="eastAsia"/>
          <w:sz w:val="28"/>
          <w:szCs w:val="28"/>
          <w:highlight w:val="none"/>
        </w:rPr>
        <w:t>；学生日常医</w:t>
      </w:r>
      <w:r>
        <w:rPr>
          <w:rFonts w:hint="eastAsia"/>
          <w:sz w:val="28"/>
          <w:szCs w:val="28"/>
          <w:highlight w:val="none"/>
          <w:lang w:eastAsia="zh-CN"/>
        </w:rPr>
        <w:t>疗及</w:t>
      </w:r>
      <w:r>
        <w:rPr>
          <w:rFonts w:hint="eastAsia"/>
          <w:sz w:val="28"/>
          <w:szCs w:val="28"/>
          <w:highlight w:val="none"/>
        </w:rPr>
        <w:t>保健；教职工医疗</w:t>
      </w:r>
      <w:r>
        <w:rPr>
          <w:rFonts w:hint="eastAsia"/>
          <w:sz w:val="28"/>
          <w:szCs w:val="28"/>
          <w:highlight w:val="none"/>
          <w:lang w:eastAsia="zh-CN"/>
        </w:rPr>
        <w:t>及健康</w:t>
      </w:r>
      <w:r>
        <w:rPr>
          <w:rFonts w:hint="eastAsia"/>
          <w:sz w:val="28"/>
          <w:szCs w:val="28"/>
          <w:highlight w:val="none"/>
        </w:rPr>
        <w:t>（自愿）；传染病防控</w:t>
      </w:r>
      <w:r>
        <w:rPr>
          <w:rFonts w:hint="eastAsia"/>
          <w:sz w:val="28"/>
          <w:szCs w:val="28"/>
          <w:highlight w:val="none"/>
          <w:lang w:eastAsia="zh-CN"/>
        </w:rPr>
        <w:t>；学生活动医疗保障、健康档案建立和管理；学校健康教育宣传、辅</w:t>
      </w:r>
      <w:r>
        <w:rPr>
          <w:rFonts w:hint="eastAsia"/>
          <w:sz w:val="28"/>
          <w:szCs w:val="28"/>
          <w:highlight w:val="none"/>
          <w:lang w:val="en-US" w:eastAsia="zh-CN"/>
        </w:rPr>
        <w:t>组</w:t>
      </w:r>
      <w:r>
        <w:rPr>
          <w:rFonts w:hint="eastAsia"/>
          <w:sz w:val="28"/>
          <w:szCs w:val="28"/>
          <w:highlight w:val="none"/>
          <w:lang w:eastAsia="zh-CN"/>
        </w:rPr>
        <w:t>学校食堂食品卫生安全管理。</w:t>
      </w:r>
    </w:p>
    <w:p w14:paraId="1F5E7554">
      <w:pPr>
        <w:rPr>
          <w:rFonts w:hint="eastAsia"/>
          <w:sz w:val="28"/>
          <w:szCs w:val="28"/>
          <w:highlight w:val="none"/>
        </w:rPr>
      </w:pPr>
      <w:r>
        <w:rPr>
          <w:rFonts w:hint="eastAsia"/>
          <w:sz w:val="28"/>
          <w:szCs w:val="28"/>
          <w:highlight w:val="none"/>
        </w:rPr>
        <w:t>二、甲、乙双方权利义务：</w:t>
      </w:r>
    </w:p>
    <w:p w14:paraId="687770B0">
      <w:pPr>
        <w:ind w:firstLine="560" w:firstLineChars="200"/>
        <w:rPr>
          <w:rFonts w:hint="eastAsia"/>
          <w:sz w:val="28"/>
          <w:szCs w:val="28"/>
          <w:highlight w:val="none"/>
        </w:rPr>
      </w:pPr>
      <w:r>
        <w:rPr>
          <w:rFonts w:hint="eastAsia"/>
          <w:sz w:val="28"/>
          <w:szCs w:val="28"/>
          <w:highlight w:val="none"/>
        </w:rPr>
        <w:t>甲方：</w:t>
      </w:r>
    </w:p>
    <w:p w14:paraId="33CFD86E">
      <w:pPr>
        <w:pStyle w:val="40"/>
        <w:numPr>
          <w:ilvl w:val="0"/>
          <w:numId w:val="0"/>
        </w:numPr>
        <w:ind w:leftChars="0" w:firstLine="560" w:firstLineChars="200"/>
        <w:rPr>
          <w:rFonts w:hint="eastAsia"/>
          <w:sz w:val="28"/>
          <w:szCs w:val="28"/>
          <w:highlight w:val="none"/>
        </w:rPr>
      </w:pPr>
      <w:r>
        <w:rPr>
          <w:rFonts w:hint="eastAsia"/>
          <w:sz w:val="28"/>
          <w:szCs w:val="28"/>
          <w:highlight w:val="none"/>
          <w:lang w:val="en-US" w:eastAsia="zh-CN"/>
        </w:rPr>
        <w:t>1、</w:t>
      </w:r>
      <w:r>
        <w:rPr>
          <w:rFonts w:hint="eastAsia"/>
          <w:sz w:val="28"/>
          <w:szCs w:val="28"/>
          <w:highlight w:val="none"/>
        </w:rPr>
        <w:t>在合作期间甲方负责提供乙方医疗场地</w:t>
      </w:r>
      <w:r>
        <w:rPr>
          <w:rFonts w:hint="eastAsia"/>
          <w:sz w:val="28"/>
          <w:szCs w:val="28"/>
          <w:highlight w:val="none"/>
          <w:lang w:eastAsia="zh-CN"/>
        </w:rPr>
        <w:t>和一些必要的办公设备。</w:t>
      </w:r>
    </w:p>
    <w:p w14:paraId="03533BC8">
      <w:pPr>
        <w:pStyle w:val="40"/>
        <w:numPr>
          <w:ilvl w:val="0"/>
          <w:numId w:val="0"/>
        </w:numPr>
        <w:ind w:leftChars="0" w:firstLine="560" w:firstLineChars="200"/>
        <w:rPr>
          <w:rFonts w:hint="eastAsia"/>
          <w:sz w:val="28"/>
          <w:szCs w:val="28"/>
          <w:highlight w:val="none"/>
        </w:rPr>
      </w:pPr>
      <w:r>
        <w:rPr>
          <w:rFonts w:hint="eastAsia"/>
          <w:sz w:val="28"/>
          <w:szCs w:val="28"/>
          <w:highlight w:val="none"/>
          <w:lang w:val="en-US" w:eastAsia="zh-CN"/>
        </w:rPr>
        <w:t>2、</w:t>
      </w:r>
      <w:r>
        <w:rPr>
          <w:rFonts w:hint="eastAsia"/>
          <w:sz w:val="28"/>
          <w:szCs w:val="28"/>
          <w:highlight w:val="none"/>
        </w:rPr>
        <w:t>甲方</w:t>
      </w:r>
      <w:r>
        <w:rPr>
          <w:rFonts w:hint="eastAsia"/>
          <w:sz w:val="28"/>
          <w:szCs w:val="28"/>
          <w:highlight w:val="none"/>
          <w:lang w:eastAsia="zh-CN"/>
        </w:rPr>
        <w:t>为</w:t>
      </w:r>
      <w:r>
        <w:rPr>
          <w:rFonts w:hint="eastAsia"/>
          <w:sz w:val="28"/>
          <w:szCs w:val="28"/>
          <w:highlight w:val="none"/>
          <w:lang w:val="en-US" w:eastAsia="zh-CN"/>
        </w:rPr>
        <w:t>乙方</w:t>
      </w:r>
      <w:r>
        <w:rPr>
          <w:rFonts w:hint="eastAsia"/>
          <w:sz w:val="28"/>
          <w:szCs w:val="28"/>
          <w:highlight w:val="none"/>
        </w:rPr>
        <w:t>提供水</w:t>
      </w:r>
      <w:r>
        <w:rPr>
          <w:rFonts w:hint="eastAsia"/>
          <w:sz w:val="28"/>
          <w:szCs w:val="28"/>
          <w:highlight w:val="none"/>
          <w:lang w:eastAsia="zh-CN"/>
        </w:rPr>
        <w:t>、</w:t>
      </w:r>
      <w:r>
        <w:rPr>
          <w:rFonts w:hint="eastAsia"/>
          <w:sz w:val="28"/>
          <w:szCs w:val="28"/>
          <w:highlight w:val="none"/>
        </w:rPr>
        <w:t>电</w:t>
      </w:r>
      <w:r>
        <w:rPr>
          <w:rFonts w:hint="eastAsia"/>
          <w:sz w:val="28"/>
          <w:szCs w:val="28"/>
          <w:highlight w:val="none"/>
          <w:lang w:eastAsia="zh-CN"/>
        </w:rPr>
        <w:t>及免费的</w:t>
      </w:r>
      <w:r>
        <w:rPr>
          <w:rFonts w:hint="eastAsia"/>
          <w:sz w:val="28"/>
          <w:szCs w:val="28"/>
          <w:highlight w:val="none"/>
        </w:rPr>
        <w:t>网络</w:t>
      </w:r>
      <w:r>
        <w:rPr>
          <w:rFonts w:hint="eastAsia"/>
          <w:sz w:val="28"/>
          <w:szCs w:val="28"/>
          <w:highlight w:val="none"/>
          <w:lang w:eastAsia="zh-CN"/>
        </w:rPr>
        <w:t>连</w:t>
      </w:r>
      <w:r>
        <w:rPr>
          <w:rFonts w:hint="eastAsia"/>
          <w:sz w:val="28"/>
          <w:szCs w:val="28"/>
          <w:highlight w:val="none"/>
        </w:rPr>
        <w:t>接。</w:t>
      </w:r>
    </w:p>
    <w:p w14:paraId="42F0F4D1">
      <w:pPr>
        <w:pStyle w:val="40"/>
        <w:numPr>
          <w:ilvl w:val="0"/>
          <w:numId w:val="0"/>
        </w:numPr>
        <w:ind w:leftChars="0" w:firstLine="560" w:firstLineChars="200"/>
        <w:rPr>
          <w:rFonts w:hint="eastAsia"/>
          <w:sz w:val="28"/>
          <w:szCs w:val="28"/>
          <w:highlight w:val="none"/>
        </w:rPr>
      </w:pPr>
      <w:r>
        <w:rPr>
          <w:rFonts w:hint="eastAsia"/>
          <w:sz w:val="28"/>
          <w:szCs w:val="28"/>
          <w:highlight w:val="none"/>
          <w:lang w:val="en-US" w:eastAsia="zh-CN"/>
        </w:rPr>
        <w:t>3、</w:t>
      </w:r>
      <w:r>
        <w:rPr>
          <w:rFonts w:hint="eastAsia"/>
          <w:sz w:val="28"/>
          <w:szCs w:val="28"/>
          <w:highlight w:val="none"/>
          <w:lang w:eastAsia="zh-CN"/>
        </w:rPr>
        <w:t>负责协调乙方和学生之间的医疗服务矛盾。</w:t>
      </w:r>
    </w:p>
    <w:p w14:paraId="4E08DD93">
      <w:pPr>
        <w:pStyle w:val="40"/>
        <w:numPr>
          <w:ilvl w:val="0"/>
          <w:numId w:val="0"/>
        </w:numPr>
        <w:ind w:leftChars="0" w:firstLine="560" w:firstLineChars="200"/>
        <w:rPr>
          <w:rFonts w:hint="eastAsia"/>
          <w:sz w:val="28"/>
          <w:szCs w:val="28"/>
          <w:highlight w:val="none"/>
        </w:rPr>
      </w:pPr>
      <w:r>
        <w:rPr>
          <w:rFonts w:hint="eastAsia"/>
          <w:sz w:val="28"/>
          <w:szCs w:val="28"/>
          <w:highlight w:val="none"/>
          <w:lang w:val="en-US" w:eastAsia="zh-CN"/>
        </w:rPr>
        <w:t>4、</w:t>
      </w:r>
      <w:r>
        <w:rPr>
          <w:rFonts w:hint="eastAsia"/>
          <w:sz w:val="28"/>
          <w:szCs w:val="28"/>
          <w:highlight w:val="none"/>
          <w:lang w:eastAsia="zh-CN"/>
        </w:rPr>
        <w:t>对乙方合同期内应履行的职责进行监督、检查和考核。</w:t>
      </w:r>
      <w:r>
        <w:rPr>
          <w:rFonts w:hint="eastAsia"/>
          <w:sz w:val="28"/>
          <w:szCs w:val="28"/>
          <w:highlight w:val="none"/>
        </w:rPr>
        <w:t>对学生反映的问题有权要求乙方及时纠正。</w:t>
      </w:r>
    </w:p>
    <w:p w14:paraId="3BE9AC5A">
      <w:pPr>
        <w:ind w:firstLine="560" w:firstLineChars="200"/>
        <w:rPr>
          <w:rFonts w:hint="eastAsia"/>
          <w:sz w:val="28"/>
          <w:szCs w:val="28"/>
          <w:highlight w:val="none"/>
        </w:rPr>
      </w:pPr>
      <w:r>
        <w:rPr>
          <w:rFonts w:hint="eastAsia"/>
          <w:sz w:val="28"/>
          <w:szCs w:val="28"/>
          <w:highlight w:val="none"/>
        </w:rPr>
        <w:t>乙方：</w:t>
      </w:r>
    </w:p>
    <w:p w14:paraId="6435D0A3">
      <w:pPr>
        <w:pStyle w:val="40"/>
        <w:numPr>
          <w:ilvl w:val="0"/>
          <w:numId w:val="0"/>
        </w:numPr>
        <w:ind w:leftChars="0" w:firstLine="560" w:firstLineChars="200"/>
        <w:rPr>
          <w:rFonts w:hint="eastAsia"/>
          <w:sz w:val="28"/>
          <w:szCs w:val="28"/>
          <w:highlight w:val="none"/>
        </w:rPr>
      </w:pPr>
      <w:r>
        <w:rPr>
          <w:rFonts w:hint="eastAsia"/>
          <w:sz w:val="28"/>
          <w:szCs w:val="28"/>
          <w:highlight w:val="none"/>
          <w:lang w:val="en-US" w:eastAsia="zh-CN"/>
        </w:rPr>
        <w:t>1、</w:t>
      </w:r>
      <w:r>
        <w:rPr>
          <w:rFonts w:hint="eastAsia"/>
          <w:sz w:val="28"/>
          <w:szCs w:val="28"/>
          <w:highlight w:val="none"/>
        </w:rPr>
        <w:t>乙方选配业务技术精、管理能力强的</w:t>
      </w:r>
      <w:r>
        <w:rPr>
          <w:rFonts w:hint="eastAsia"/>
          <w:sz w:val="28"/>
          <w:szCs w:val="28"/>
          <w:highlight w:val="none"/>
          <w:lang w:eastAsia="zh-CN"/>
        </w:rPr>
        <w:t>，服务态度好的</w:t>
      </w:r>
      <w:r>
        <w:rPr>
          <w:rFonts w:hint="eastAsia"/>
          <w:sz w:val="28"/>
          <w:szCs w:val="28"/>
          <w:highlight w:val="none"/>
        </w:rPr>
        <w:t>医务人员履行乙方职责，合法经营。</w:t>
      </w:r>
      <w:r>
        <w:rPr>
          <w:rFonts w:hint="eastAsia"/>
          <w:sz w:val="28"/>
          <w:szCs w:val="28"/>
          <w:highlight w:val="none"/>
          <w:lang w:eastAsia="zh-CN"/>
        </w:rPr>
        <w:t>承担合同期内医疗服务活动中的医疗事故责任。</w:t>
      </w:r>
    </w:p>
    <w:p w14:paraId="7048BB97">
      <w:pPr>
        <w:pStyle w:val="40"/>
        <w:numPr>
          <w:ilvl w:val="0"/>
          <w:numId w:val="0"/>
        </w:numPr>
        <w:ind w:leftChars="0" w:firstLine="560" w:firstLineChars="200"/>
        <w:rPr>
          <w:rFonts w:hint="eastAsia"/>
          <w:sz w:val="28"/>
          <w:szCs w:val="28"/>
          <w:highlight w:val="none"/>
        </w:rPr>
      </w:pPr>
      <w:r>
        <w:rPr>
          <w:rFonts w:hint="eastAsia"/>
          <w:sz w:val="28"/>
          <w:szCs w:val="28"/>
          <w:highlight w:val="none"/>
          <w:lang w:val="en-US" w:eastAsia="zh-CN"/>
        </w:rPr>
        <w:t>2、</w:t>
      </w:r>
      <w:r>
        <w:rPr>
          <w:rFonts w:hint="eastAsia"/>
          <w:sz w:val="28"/>
          <w:szCs w:val="28"/>
          <w:highlight w:val="none"/>
        </w:rPr>
        <w:t>医疗室医疗器械由乙方负责配备并保证能够正常使用</w:t>
      </w:r>
      <w:r>
        <w:rPr>
          <w:rFonts w:hint="eastAsia"/>
          <w:sz w:val="28"/>
          <w:szCs w:val="28"/>
          <w:highlight w:val="none"/>
          <w:lang w:eastAsia="zh-CN"/>
        </w:rPr>
        <w:t>。</w:t>
      </w:r>
      <w:r>
        <w:rPr>
          <w:rFonts w:hint="eastAsia"/>
          <w:sz w:val="28"/>
          <w:szCs w:val="28"/>
          <w:highlight w:val="none"/>
        </w:rPr>
        <w:t>应以优质医疗技术、良好的服务为甲方师生员工及应诊人员的疾病提供合理的治疗（包括急诊、重症病人会诊、转诊）。</w:t>
      </w:r>
    </w:p>
    <w:p w14:paraId="375C89BF">
      <w:pPr>
        <w:pStyle w:val="40"/>
        <w:numPr>
          <w:ilvl w:val="0"/>
          <w:numId w:val="0"/>
        </w:numPr>
        <w:ind w:leftChars="0" w:firstLine="560" w:firstLineChars="200"/>
        <w:rPr>
          <w:rFonts w:hint="eastAsia"/>
          <w:sz w:val="28"/>
          <w:szCs w:val="28"/>
          <w:highlight w:val="none"/>
        </w:rPr>
      </w:pPr>
      <w:r>
        <w:rPr>
          <w:rFonts w:hint="eastAsia"/>
          <w:sz w:val="28"/>
          <w:szCs w:val="28"/>
          <w:highlight w:val="none"/>
          <w:lang w:val="en-US" w:eastAsia="zh-CN"/>
        </w:rPr>
        <w:t>3、</w:t>
      </w:r>
      <w:r>
        <w:rPr>
          <w:rFonts w:hint="eastAsia"/>
          <w:sz w:val="28"/>
          <w:szCs w:val="28"/>
          <w:highlight w:val="none"/>
          <w:lang w:eastAsia="zh-CN"/>
        </w:rPr>
        <w:t>乙方则协调处理市疾控部门和学校的相关事宜。</w:t>
      </w:r>
    </w:p>
    <w:p w14:paraId="1F1466A0">
      <w:pPr>
        <w:pStyle w:val="40"/>
        <w:numPr>
          <w:ilvl w:val="0"/>
          <w:numId w:val="0"/>
        </w:numPr>
        <w:ind w:leftChars="0" w:firstLine="560" w:firstLineChars="200"/>
        <w:rPr>
          <w:rFonts w:hint="eastAsia"/>
          <w:sz w:val="28"/>
          <w:szCs w:val="28"/>
          <w:highlight w:val="none"/>
          <w:lang w:eastAsia="zh-CN"/>
        </w:rPr>
      </w:pPr>
      <w:r>
        <w:rPr>
          <w:rFonts w:hint="eastAsia"/>
          <w:sz w:val="28"/>
          <w:szCs w:val="28"/>
          <w:highlight w:val="none"/>
          <w:lang w:val="en-US" w:eastAsia="zh-CN"/>
        </w:rPr>
        <w:t>4、</w:t>
      </w:r>
      <w:r>
        <w:rPr>
          <w:rFonts w:hint="eastAsia"/>
          <w:sz w:val="28"/>
          <w:szCs w:val="28"/>
          <w:highlight w:val="none"/>
          <w:lang w:eastAsia="zh-CN"/>
        </w:rPr>
        <w:t>负责承担</w:t>
      </w:r>
      <w:r>
        <w:rPr>
          <w:rFonts w:hint="eastAsia"/>
          <w:sz w:val="28"/>
          <w:szCs w:val="28"/>
          <w:highlight w:val="none"/>
        </w:rPr>
        <w:t>甲方</w:t>
      </w:r>
      <w:r>
        <w:rPr>
          <w:rFonts w:hint="eastAsia"/>
          <w:sz w:val="28"/>
          <w:szCs w:val="28"/>
          <w:highlight w:val="none"/>
          <w:lang w:eastAsia="zh-CN"/>
        </w:rPr>
        <w:t>在</w:t>
      </w:r>
      <w:r>
        <w:rPr>
          <w:rFonts w:hint="eastAsia"/>
          <w:sz w:val="28"/>
          <w:szCs w:val="28"/>
          <w:highlight w:val="none"/>
        </w:rPr>
        <w:t>校学生</w:t>
      </w:r>
      <w:r>
        <w:rPr>
          <w:rFonts w:hint="eastAsia"/>
          <w:sz w:val="28"/>
          <w:szCs w:val="28"/>
          <w:highlight w:val="none"/>
          <w:lang w:eastAsia="zh-CN"/>
        </w:rPr>
        <w:t>医疗保健的保障工作（教职工自愿），费用标准为：药品零差价、输液、换药等不高于社区卫生服务站标准（按投标承诺标准公示）。</w:t>
      </w:r>
    </w:p>
    <w:p w14:paraId="245A7422">
      <w:pPr>
        <w:pStyle w:val="40"/>
        <w:numPr>
          <w:ilvl w:val="0"/>
          <w:numId w:val="0"/>
        </w:numPr>
        <w:ind w:leftChars="0" w:firstLine="560" w:firstLineChars="200"/>
        <w:rPr>
          <w:rFonts w:hint="default"/>
          <w:sz w:val="28"/>
          <w:szCs w:val="28"/>
          <w:highlight w:val="none"/>
          <w:lang w:val="en-US" w:eastAsia="zh-CN"/>
        </w:rPr>
      </w:pPr>
      <w:r>
        <w:rPr>
          <w:rFonts w:hint="eastAsia"/>
          <w:sz w:val="28"/>
          <w:szCs w:val="28"/>
          <w:highlight w:val="none"/>
          <w:lang w:val="en-US" w:eastAsia="zh-CN"/>
        </w:rPr>
        <w:t>5、做好传染病防控工作，实行“学生病情证明登记备案制度”落实传染病登记及上报</w:t>
      </w:r>
    </w:p>
    <w:p w14:paraId="679333CB">
      <w:pPr>
        <w:pStyle w:val="40"/>
        <w:numPr>
          <w:ilvl w:val="0"/>
          <w:numId w:val="0"/>
        </w:numPr>
        <w:ind w:leftChars="0" w:firstLine="560" w:firstLineChars="200"/>
        <w:rPr>
          <w:rFonts w:hint="eastAsia"/>
          <w:sz w:val="28"/>
          <w:szCs w:val="28"/>
          <w:highlight w:val="none"/>
        </w:rPr>
      </w:pPr>
      <w:r>
        <w:rPr>
          <w:rFonts w:hint="eastAsia"/>
          <w:sz w:val="28"/>
          <w:szCs w:val="28"/>
          <w:highlight w:val="none"/>
          <w:lang w:val="en-US" w:eastAsia="zh-CN"/>
        </w:rPr>
        <w:t>6、</w:t>
      </w:r>
      <w:r>
        <w:rPr>
          <w:rFonts w:hint="eastAsia"/>
          <w:sz w:val="28"/>
          <w:szCs w:val="28"/>
          <w:highlight w:val="none"/>
        </w:rPr>
        <w:t>承担学校卫生防疫管理工作，负责制定学校</w:t>
      </w:r>
      <w:r>
        <w:rPr>
          <w:rFonts w:hint="eastAsia"/>
          <w:sz w:val="28"/>
          <w:szCs w:val="28"/>
          <w:highlight w:val="none"/>
          <w:lang w:eastAsia="zh-CN"/>
        </w:rPr>
        <w:t>医疗</w:t>
      </w:r>
      <w:r>
        <w:rPr>
          <w:rFonts w:hint="eastAsia"/>
          <w:sz w:val="28"/>
          <w:szCs w:val="28"/>
          <w:highlight w:val="none"/>
        </w:rPr>
        <w:t>卫生管理工作的目标和要求，</w:t>
      </w:r>
      <w:r>
        <w:rPr>
          <w:rFonts w:hint="eastAsia"/>
          <w:sz w:val="28"/>
          <w:szCs w:val="28"/>
          <w:highlight w:val="none"/>
          <w:lang w:eastAsia="zh-CN"/>
        </w:rPr>
        <w:t>认真做好学校健康教育宣传工作。</w:t>
      </w:r>
    </w:p>
    <w:p w14:paraId="77B327B1">
      <w:pPr>
        <w:pStyle w:val="40"/>
        <w:numPr>
          <w:ilvl w:val="0"/>
          <w:numId w:val="0"/>
        </w:numPr>
        <w:ind w:leftChars="0" w:firstLine="560" w:firstLineChars="200"/>
        <w:rPr>
          <w:rFonts w:hint="eastAsia"/>
          <w:sz w:val="28"/>
          <w:szCs w:val="28"/>
          <w:highlight w:val="none"/>
        </w:rPr>
      </w:pPr>
      <w:r>
        <w:rPr>
          <w:rFonts w:hint="eastAsia"/>
          <w:sz w:val="28"/>
          <w:szCs w:val="28"/>
          <w:highlight w:val="none"/>
          <w:lang w:val="en-US" w:eastAsia="zh-CN"/>
        </w:rPr>
        <w:t>7、</w:t>
      </w:r>
      <w:r>
        <w:rPr>
          <w:rFonts w:hint="eastAsia"/>
          <w:sz w:val="28"/>
          <w:szCs w:val="28"/>
          <w:highlight w:val="none"/>
        </w:rPr>
        <w:t>医护人员</w:t>
      </w:r>
      <w:r>
        <w:rPr>
          <w:rFonts w:hint="eastAsia"/>
          <w:sz w:val="28"/>
          <w:szCs w:val="28"/>
          <w:highlight w:val="none"/>
          <w:lang w:eastAsia="zh-CN"/>
        </w:rPr>
        <w:t>（白天必须保证</w:t>
      </w:r>
      <w:r>
        <w:rPr>
          <w:rFonts w:hint="eastAsia"/>
          <w:sz w:val="28"/>
          <w:szCs w:val="28"/>
          <w:highlight w:val="none"/>
          <w:lang w:val="en-US" w:eastAsia="zh-CN"/>
        </w:rPr>
        <w:t>1名医生在岗</w:t>
      </w:r>
      <w:r>
        <w:rPr>
          <w:rFonts w:hint="eastAsia"/>
          <w:sz w:val="28"/>
          <w:szCs w:val="28"/>
          <w:highlight w:val="none"/>
          <w:lang w:eastAsia="zh-CN"/>
        </w:rPr>
        <w:t>）实行</w:t>
      </w:r>
      <w:r>
        <w:rPr>
          <w:rFonts w:hint="eastAsia"/>
          <w:sz w:val="28"/>
          <w:szCs w:val="28"/>
          <w:highlight w:val="none"/>
        </w:rPr>
        <w:t>24小时</w:t>
      </w:r>
      <w:r>
        <w:rPr>
          <w:rFonts w:hint="eastAsia"/>
          <w:sz w:val="28"/>
          <w:szCs w:val="28"/>
          <w:highlight w:val="none"/>
          <w:lang w:eastAsia="zh-CN"/>
        </w:rPr>
        <w:t>上</w:t>
      </w:r>
      <w:r>
        <w:rPr>
          <w:rFonts w:hint="eastAsia"/>
          <w:sz w:val="28"/>
          <w:szCs w:val="28"/>
          <w:highlight w:val="none"/>
        </w:rPr>
        <w:t>班</w:t>
      </w:r>
      <w:r>
        <w:rPr>
          <w:rFonts w:hint="eastAsia"/>
          <w:sz w:val="28"/>
          <w:szCs w:val="28"/>
          <w:highlight w:val="none"/>
          <w:lang w:eastAsia="zh-CN"/>
        </w:rPr>
        <w:t>签到制，严禁酒后上岗；严禁脱岗、严禁做与医疗服务无关的活动事项，每发现一次处罚</w:t>
      </w:r>
      <w:r>
        <w:rPr>
          <w:rFonts w:hint="eastAsia"/>
          <w:sz w:val="28"/>
          <w:szCs w:val="28"/>
          <w:highlight w:val="none"/>
          <w:lang w:val="en-US" w:eastAsia="zh-CN"/>
        </w:rPr>
        <w:t>300元</w:t>
      </w:r>
      <w:r>
        <w:rPr>
          <w:rFonts w:hint="eastAsia"/>
          <w:sz w:val="28"/>
          <w:szCs w:val="28"/>
          <w:highlight w:val="none"/>
          <w:lang w:eastAsia="zh-CN"/>
        </w:rPr>
        <w:t>。</w:t>
      </w:r>
      <w:r>
        <w:rPr>
          <w:rFonts w:hint="eastAsia"/>
          <w:sz w:val="28"/>
          <w:szCs w:val="28"/>
          <w:highlight w:val="none"/>
          <w:lang w:val="en-US" w:eastAsia="zh-CN"/>
        </w:rPr>
        <w:t>认真防控落实学校各项防疫工作，做好</w:t>
      </w:r>
      <w:r>
        <w:rPr>
          <w:rFonts w:hint="eastAsia"/>
          <w:sz w:val="28"/>
          <w:szCs w:val="28"/>
          <w:highlight w:val="none"/>
        </w:rPr>
        <w:t>突发事件的应急方案，并负责组织实施。</w:t>
      </w:r>
    </w:p>
    <w:p w14:paraId="5FFF47C1">
      <w:pPr>
        <w:pStyle w:val="40"/>
        <w:numPr>
          <w:ilvl w:val="0"/>
          <w:numId w:val="0"/>
        </w:numPr>
        <w:ind w:leftChars="0" w:firstLine="560" w:firstLineChars="200"/>
        <w:rPr>
          <w:rFonts w:hint="eastAsia"/>
          <w:sz w:val="28"/>
          <w:szCs w:val="28"/>
          <w:highlight w:val="none"/>
        </w:rPr>
      </w:pPr>
      <w:r>
        <w:rPr>
          <w:rFonts w:hint="eastAsia"/>
          <w:sz w:val="28"/>
          <w:szCs w:val="28"/>
          <w:highlight w:val="none"/>
          <w:lang w:val="en-US" w:eastAsia="zh-CN"/>
        </w:rPr>
        <w:t>8、对学校开展的各项活动，提前做好医疗保障预案，认真做好学校各项活动师生健康保障工作。</w:t>
      </w:r>
    </w:p>
    <w:p w14:paraId="6EAB6F05">
      <w:pPr>
        <w:pStyle w:val="40"/>
        <w:numPr>
          <w:ilvl w:val="0"/>
          <w:numId w:val="0"/>
        </w:numPr>
        <w:ind w:leftChars="0" w:firstLine="560" w:firstLineChars="200"/>
        <w:rPr>
          <w:rFonts w:hint="eastAsia"/>
          <w:sz w:val="28"/>
          <w:szCs w:val="28"/>
          <w:highlight w:val="none"/>
          <w:lang w:val="en-US" w:eastAsia="zh-CN"/>
        </w:rPr>
      </w:pPr>
      <w:r>
        <w:rPr>
          <w:rFonts w:hint="eastAsia"/>
          <w:sz w:val="28"/>
          <w:szCs w:val="28"/>
          <w:highlight w:val="none"/>
          <w:lang w:val="en-US" w:eastAsia="zh-CN"/>
        </w:rPr>
        <w:t>9、辅助甲方做好学生健康体检工作，建立和管理学生健康档案。辅助甲方做好学校食堂食品卫生安全管理。</w:t>
      </w:r>
    </w:p>
    <w:p w14:paraId="38559B4C">
      <w:pPr>
        <w:pStyle w:val="40"/>
        <w:numPr>
          <w:ilvl w:val="0"/>
          <w:numId w:val="0"/>
        </w:numPr>
        <w:ind w:leftChars="0" w:firstLine="560" w:firstLineChars="200"/>
        <w:rPr>
          <w:rFonts w:hint="default"/>
          <w:sz w:val="28"/>
          <w:szCs w:val="28"/>
          <w:highlight w:val="none"/>
          <w:lang w:val="en-US" w:eastAsia="zh-CN"/>
        </w:rPr>
      </w:pPr>
      <w:r>
        <w:rPr>
          <w:rFonts w:hint="eastAsia"/>
          <w:sz w:val="28"/>
          <w:szCs w:val="28"/>
          <w:highlight w:val="none"/>
          <w:lang w:val="en-US" w:eastAsia="zh-CN"/>
        </w:rPr>
        <w:t>10、积极做好服务工作，自觉接受甲方监督检查，对甲方提出的问题，应及时整改。</w:t>
      </w:r>
    </w:p>
    <w:p w14:paraId="0C09B265">
      <w:pPr>
        <w:rPr>
          <w:rFonts w:hint="eastAsia"/>
          <w:sz w:val="28"/>
          <w:szCs w:val="28"/>
          <w:highlight w:val="none"/>
        </w:rPr>
      </w:pPr>
      <w:r>
        <w:rPr>
          <w:rFonts w:hint="eastAsia"/>
          <w:sz w:val="28"/>
          <w:szCs w:val="28"/>
          <w:highlight w:val="none"/>
        </w:rPr>
        <w:t>三、医疗保健内容及医疗人员工作职责：</w:t>
      </w:r>
    </w:p>
    <w:p w14:paraId="57276D33">
      <w:pPr>
        <w:pStyle w:val="40"/>
        <w:ind w:left="0" w:leftChars="0" w:firstLine="560" w:firstLineChars="200"/>
        <w:rPr>
          <w:rFonts w:hint="eastAsia"/>
          <w:sz w:val="28"/>
          <w:szCs w:val="28"/>
          <w:highlight w:val="none"/>
        </w:rPr>
      </w:pPr>
      <w:r>
        <w:rPr>
          <w:rFonts w:hint="eastAsia"/>
          <w:sz w:val="28"/>
          <w:szCs w:val="28"/>
          <w:highlight w:val="none"/>
        </w:rPr>
        <w:t>医疗保健是根据《学校卫生工作条例》的规定而设，主要负责</w:t>
      </w:r>
    </w:p>
    <w:p w14:paraId="1C5D00BF">
      <w:pPr>
        <w:pStyle w:val="40"/>
        <w:ind w:left="0" w:leftChars="0" w:firstLine="0" w:firstLineChars="0"/>
        <w:rPr>
          <w:rFonts w:hint="eastAsia" w:eastAsia="宋体"/>
          <w:sz w:val="28"/>
          <w:szCs w:val="28"/>
          <w:highlight w:val="none"/>
          <w:lang w:eastAsia="zh-CN"/>
        </w:rPr>
      </w:pPr>
      <w:r>
        <w:rPr>
          <w:rFonts w:hint="eastAsia"/>
          <w:sz w:val="28"/>
          <w:szCs w:val="28"/>
          <w:highlight w:val="none"/>
          <w:lang w:eastAsia="zh-CN"/>
        </w:rPr>
        <w:t>对</w:t>
      </w:r>
      <w:r>
        <w:rPr>
          <w:rFonts w:hint="eastAsia"/>
          <w:sz w:val="28"/>
          <w:szCs w:val="28"/>
          <w:highlight w:val="none"/>
        </w:rPr>
        <w:t>校园内的卫生</w:t>
      </w:r>
      <w:r>
        <w:rPr>
          <w:rFonts w:hint="eastAsia"/>
          <w:sz w:val="28"/>
          <w:szCs w:val="28"/>
          <w:highlight w:val="none"/>
          <w:lang w:eastAsia="zh-CN"/>
        </w:rPr>
        <w:t>健康</w:t>
      </w:r>
      <w:r>
        <w:rPr>
          <w:rFonts w:hint="eastAsia"/>
          <w:sz w:val="28"/>
          <w:szCs w:val="28"/>
          <w:highlight w:val="none"/>
        </w:rPr>
        <w:t>管理</w:t>
      </w:r>
      <w:r>
        <w:rPr>
          <w:rFonts w:hint="eastAsia"/>
          <w:sz w:val="28"/>
          <w:szCs w:val="28"/>
          <w:highlight w:val="none"/>
          <w:lang w:eastAsia="zh-CN"/>
        </w:rPr>
        <w:t>。</w:t>
      </w:r>
    </w:p>
    <w:p w14:paraId="60A16FA4">
      <w:pPr>
        <w:pStyle w:val="40"/>
        <w:numPr>
          <w:ilvl w:val="0"/>
          <w:numId w:val="0"/>
        </w:numPr>
        <w:ind w:firstLine="560" w:firstLineChars="200"/>
        <w:rPr>
          <w:rFonts w:hint="eastAsia"/>
          <w:sz w:val="28"/>
          <w:szCs w:val="28"/>
          <w:highlight w:val="none"/>
        </w:rPr>
      </w:pPr>
      <w:r>
        <w:rPr>
          <w:rFonts w:hint="eastAsia"/>
          <w:sz w:val="28"/>
          <w:szCs w:val="28"/>
          <w:highlight w:val="none"/>
          <w:lang w:val="en-US" w:eastAsia="zh-CN"/>
        </w:rPr>
        <w:t>1、</w:t>
      </w:r>
      <w:r>
        <w:rPr>
          <w:rFonts w:hint="eastAsia"/>
          <w:sz w:val="28"/>
          <w:szCs w:val="28"/>
          <w:highlight w:val="none"/>
        </w:rPr>
        <w:t>负责全院师生员工的</w:t>
      </w:r>
      <w:r>
        <w:rPr>
          <w:rFonts w:hint="eastAsia"/>
          <w:sz w:val="28"/>
          <w:szCs w:val="28"/>
          <w:highlight w:val="none"/>
          <w:lang w:eastAsia="zh-CN"/>
        </w:rPr>
        <w:t>医疗</w:t>
      </w:r>
      <w:r>
        <w:rPr>
          <w:rFonts w:hint="eastAsia"/>
          <w:sz w:val="28"/>
          <w:szCs w:val="28"/>
          <w:highlight w:val="none"/>
        </w:rPr>
        <w:t>卫生</w:t>
      </w:r>
      <w:r>
        <w:rPr>
          <w:rFonts w:hint="eastAsia"/>
          <w:sz w:val="28"/>
          <w:szCs w:val="28"/>
          <w:highlight w:val="none"/>
          <w:lang w:eastAsia="zh-CN"/>
        </w:rPr>
        <w:t>及</w:t>
      </w:r>
      <w:r>
        <w:rPr>
          <w:rFonts w:hint="eastAsia"/>
          <w:sz w:val="28"/>
          <w:szCs w:val="28"/>
          <w:highlight w:val="none"/>
        </w:rPr>
        <w:t>保健工作和</w:t>
      </w:r>
      <w:r>
        <w:rPr>
          <w:rFonts w:hint="eastAsia"/>
          <w:sz w:val="28"/>
          <w:szCs w:val="28"/>
          <w:highlight w:val="none"/>
          <w:lang w:eastAsia="zh-CN"/>
        </w:rPr>
        <w:t>传染</w:t>
      </w:r>
      <w:r>
        <w:rPr>
          <w:rFonts w:hint="eastAsia"/>
          <w:sz w:val="28"/>
          <w:szCs w:val="28"/>
          <w:highlight w:val="none"/>
        </w:rPr>
        <w:t>病预防工作。</w:t>
      </w:r>
    </w:p>
    <w:p w14:paraId="5CFC91E3">
      <w:pPr>
        <w:pStyle w:val="40"/>
        <w:numPr>
          <w:ilvl w:val="0"/>
          <w:numId w:val="0"/>
        </w:numPr>
        <w:ind w:firstLine="560" w:firstLineChars="200"/>
        <w:rPr>
          <w:rFonts w:hint="eastAsia"/>
          <w:sz w:val="28"/>
          <w:szCs w:val="28"/>
          <w:highlight w:val="none"/>
        </w:rPr>
      </w:pPr>
      <w:r>
        <w:rPr>
          <w:rFonts w:hint="eastAsia"/>
          <w:sz w:val="28"/>
          <w:szCs w:val="28"/>
          <w:highlight w:val="none"/>
          <w:lang w:val="en-US" w:eastAsia="zh-CN"/>
        </w:rPr>
        <w:t>2、</w:t>
      </w:r>
      <w:r>
        <w:rPr>
          <w:rFonts w:hint="eastAsia"/>
          <w:sz w:val="28"/>
          <w:szCs w:val="28"/>
          <w:highlight w:val="none"/>
          <w:lang w:eastAsia="zh-CN"/>
        </w:rPr>
        <w:t>医务人员配合对学校食堂进行食品卫生安全检查并做好记录；发现问题及时上报。</w:t>
      </w:r>
    </w:p>
    <w:p w14:paraId="63F8B03A">
      <w:pPr>
        <w:pStyle w:val="40"/>
        <w:numPr>
          <w:ilvl w:val="0"/>
          <w:numId w:val="0"/>
        </w:numPr>
        <w:ind w:firstLine="560" w:firstLineChars="200"/>
        <w:rPr>
          <w:rFonts w:hint="eastAsia"/>
          <w:sz w:val="28"/>
          <w:szCs w:val="28"/>
          <w:highlight w:val="none"/>
        </w:rPr>
      </w:pPr>
      <w:r>
        <w:rPr>
          <w:rFonts w:hint="eastAsia"/>
          <w:sz w:val="28"/>
          <w:szCs w:val="28"/>
          <w:highlight w:val="none"/>
          <w:lang w:val="en-US" w:eastAsia="zh-CN"/>
        </w:rPr>
        <w:t>3、</w:t>
      </w:r>
      <w:r>
        <w:rPr>
          <w:rFonts w:hint="eastAsia"/>
          <w:sz w:val="28"/>
          <w:szCs w:val="28"/>
          <w:highlight w:val="none"/>
        </w:rPr>
        <w:t>负责制定</w:t>
      </w:r>
      <w:r>
        <w:rPr>
          <w:rFonts w:hint="eastAsia"/>
          <w:sz w:val="28"/>
          <w:szCs w:val="28"/>
          <w:highlight w:val="none"/>
          <w:lang w:eastAsia="zh-CN"/>
        </w:rPr>
        <w:t>医务室医疗</w:t>
      </w:r>
      <w:r>
        <w:rPr>
          <w:rFonts w:hint="eastAsia"/>
          <w:sz w:val="28"/>
          <w:szCs w:val="28"/>
          <w:highlight w:val="none"/>
        </w:rPr>
        <w:t>卫生工作突发事件的应急方案和学校卫生工作和要求。</w:t>
      </w:r>
    </w:p>
    <w:p w14:paraId="71596C84">
      <w:pPr>
        <w:pStyle w:val="40"/>
        <w:numPr>
          <w:ilvl w:val="0"/>
          <w:numId w:val="0"/>
        </w:numPr>
        <w:ind w:firstLine="560" w:firstLineChars="200"/>
        <w:rPr>
          <w:rFonts w:hint="eastAsia"/>
          <w:sz w:val="28"/>
          <w:szCs w:val="28"/>
          <w:highlight w:val="none"/>
        </w:rPr>
      </w:pPr>
      <w:r>
        <w:rPr>
          <w:rFonts w:hint="eastAsia"/>
          <w:sz w:val="28"/>
          <w:szCs w:val="28"/>
          <w:highlight w:val="none"/>
          <w:lang w:val="en-US" w:eastAsia="zh-CN"/>
        </w:rPr>
        <w:t>4、</w:t>
      </w:r>
      <w:r>
        <w:rPr>
          <w:rFonts w:hint="eastAsia"/>
          <w:sz w:val="28"/>
          <w:szCs w:val="28"/>
          <w:highlight w:val="none"/>
        </w:rPr>
        <w:t>根据《</w:t>
      </w:r>
      <w:r>
        <w:rPr>
          <w:rFonts w:hint="eastAsia"/>
          <w:sz w:val="28"/>
          <w:szCs w:val="28"/>
          <w:highlight w:val="none"/>
          <w:lang w:eastAsia="zh-CN"/>
        </w:rPr>
        <w:t>中华人民共和国传染病防治法</w:t>
      </w:r>
      <w:r>
        <w:rPr>
          <w:rFonts w:hint="eastAsia"/>
          <w:sz w:val="28"/>
          <w:szCs w:val="28"/>
          <w:highlight w:val="none"/>
        </w:rPr>
        <w:t>》和《食品卫生法》</w:t>
      </w:r>
      <w:r>
        <w:rPr>
          <w:rFonts w:hint="eastAsia"/>
          <w:sz w:val="28"/>
          <w:szCs w:val="28"/>
          <w:highlight w:val="none"/>
          <w:lang w:eastAsia="zh-CN"/>
        </w:rPr>
        <w:t>，</w:t>
      </w:r>
      <w:r>
        <w:rPr>
          <w:rFonts w:hint="eastAsia"/>
          <w:sz w:val="28"/>
          <w:szCs w:val="28"/>
          <w:highlight w:val="none"/>
        </w:rPr>
        <w:t>对食堂、公寓</w:t>
      </w:r>
      <w:r>
        <w:rPr>
          <w:rFonts w:hint="eastAsia"/>
          <w:sz w:val="28"/>
          <w:szCs w:val="28"/>
          <w:highlight w:val="none"/>
          <w:lang w:eastAsia="zh-CN"/>
        </w:rPr>
        <w:t>等公共场所</w:t>
      </w:r>
      <w:r>
        <w:rPr>
          <w:rFonts w:hint="eastAsia"/>
          <w:sz w:val="28"/>
          <w:szCs w:val="28"/>
          <w:highlight w:val="none"/>
        </w:rPr>
        <w:t>的卫生状况，进行监督管理</w:t>
      </w:r>
      <w:r>
        <w:rPr>
          <w:rFonts w:hint="eastAsia"/>
          <w:sz w:val="28"/>
          <w:szCs w:val="28"/>
          <w:highlight w:val="none"/>
          <w:lang w:eastAsia="zh-CN"/>
        </w:rPr>
        <w:t>，</w:t>
      </w:r>
      <w:r>
        <w:rPr>
          <w:rFonts w:hint="eastAsia"/>
          <w:sz w:val="28"/>
          <w:szCs w:val="28"/>
          <w:highlight w:val="none"/>
        </w:rPr>
        <w:t>提供</w:t>
      </w:r>
      <w:r>
        <w:rPr>
          <w:rFonts w:hint="eastAsia"/>
          <w:sz w:val="28"/>
          <w:szCs w:val="28"/>
          <w:highlight w:val="none"/>
          <w:lang w:eastAsia="zh-CN"/>
        </w:rPr>
        <w:t>消杀工作</w:t>
      </w:r>
      <w:r>
        <w:rPr>
          <w:rFonts w:hint="eastAsia"/>
          <w:sz w:val="28"/>
          <w:szCs w:val="28"/>
          <w:highlight w:val="none"/>
        </w:rPr>
        <w:t>药品</w:t>
      </w:r>
      <w:r>
        <w:rPr>
          <w:rFonts w:hint="eastAsia"/>
          <w:sz w:val="28"/>
          <w:szCs w:val="28"/>
          <w:highlight w:val="none"/>
          <w:lang w:eastAsia="zh-CN"/>
        </w:rPr>
        <w:t>配备的</w:t>
      </w:r>
      <w:r>
        <w:rPr>
          <w:rFonts w:hint="eastAsia"/>
          <w:sz w:val="28"/>
          <w:szCs w:val="28"/>
          <w:highlight w:val="none"/>
        </w:rPr>
        <w:t>技术指导。卫生监督、卫生消毒均应进行造册记录（每</w:t>
      </w:r>
      <w:r>
        <w:rPr>
          <w:rFonts w:hint="eastAsia"/>
          <w:sz w:val="28"/>
          <w:szCs w:val="28"/>
          <w:highlight w:val="none"/>
          <w:lang w:eastAsia="zh-CN"/>
        </w:rPr>
        <w:t>月</w:t>
      </w:r>
      <w:r>
        <w:rPr>
          <w:rFonts w:hint="eastAsia"/>
          <w:sz w:val="28"/>
          <w:szCs w:val="28"/>
          <w:highlight w:val="none"/>
        </w:rPr>
        <w:t>不少于2次）。</w:t>
      </w:r>
    </w:p>
    <w:p w14:paraId="01BAAF50">
      <w:pPr>
        <w:pStyle w:val="40"/>
        <w:numPr>
          <w:ilvl w:val="0"/>
          <w:numId w:val="0"/>
        </w:numPr>
        <w:ind w:firstLine="560" w:firstLineChars="200"/>
        <w:rPr>
          <w:rFonts w:hint="eastAsia"/>
          <w:sz w:val="28"/>
          <w:szCs w:val="28"/>
          <w:highlight w:val="none"/>
        </w:rPr>
      </w:pPr>
      <w:r>
        <w:rPr>
          <w:rFonts w:hint="eastAsia"/>
          <w:sz w:val="28"/>
          <w:szCs w:val="28"/>
          <w:highlight w:val="none"/>
          <w:lang w:val="en-US" w:eastAsia="zh-CN"/>
        </w:rPr>
        <w:t>5、</w:t>
      </w:r>
      <w:r>
        <w:rPr>
          <w:rFonts w:hint="eastAsia"/>
          <w:sz w:val="28"/>
          <w:szCs w:val="28"/>
          <w:highlight w:val="none"/>
        </w:rPr>
        <w:t>做好学生的健康检查、传染病的预防和常见病矫治工作。如：弱视、沙眼、龋齿、寄生虫、营养不良、贫血、脊柱弯曲、神经衰弱</w:t>
      </w:r>
      <w:r>
        <w:rPr>
          <w:rFonts w:hint="eastAsia"/>
          <w:sz w:val="28"/>
          <w:szCs w:val="28"/>
          <w:highlight w:val="none"/>
          <w:lang w:eastAsia="zh-CN"/>
        </w:rPr>
        <w:t>；每年开展春秋季传染病防治宣传及健康教育活动（必须进行肺结核病、艾滋病健康教育</w:t>
      </w:r>
      <w:r>
        <w:rPr>
          <w:rFonts w:hint="eastAsia"/>
          <w:sz w:val="28"/>
          <w:szCs w:val="28"/>
          <w:highlight w:val="none"/>
        </w:rPr>
        <w:t>等</w:t>
      </w:r>
      <w:r>
        <w:rPr>
          <w:rFonts w:hint="eastAsia"/>
          <w:sz w:val="28"/>
          <w:szCs w:val="28"/>
          <w:highlight w:val="none"/>
          <w:lang w:eastAsia="zh-CN"/>
        </w:rPr>
        <w:t>）</w:t>
      </w:r>
      <w:r>
        <w:rPr>
          <w:rFonts w:hint="eastAsia"/>
          <w:sz w:val="28"/>
          <w:szCs w:val="28"/>
          <w:highlight w:val="none"/>
        </w:rPr>
        <w:t>。</w:t>
      </w:r>
    </w:p>
    <w:p w14:paraId="7F759124">
      <w:pPr>
        <w:pStyle w:val="40"/>
        <w:numPr>
          <w:ilvl w:val="0"/>
          <w:numId w:val="0"/>
        </w:numPr>
        <w:ind w:firstLine="560" w:firstLineChars="200"/>
        <w:rPr>
          <w:rFonts w:hint="eastAsia"/>
          <w:b w:val="0"/>
          <w:bCs w:val="0"/>
          <w:sz w:val="28"/>
          <w:szCs w:val="28"/>
          <w:highlight w:val="none"/>
        </w:rPr>
      </w:pPr>
      <w:r>
        <w:rPr>
          <w:rFonts w:hint="eastAsia"/>
          <w:sz w:val="28"/>
          <w:szCs w:val="28"/>
          <w:highlight w:val="none"/>
          <w:lang w:val="en-US" w:eastAsia="zh-CN"/>
        </w:rPr>
        <w:t>6、</w:t>
      </w:r>
      <w:r>
        <w:rPr>
          <w:rFonts w:hint="eastAsia"/>
          <w:sz w:val="28"/>
          <w:szCs w:val="28"/>
          <w:highlight w:val="none"/>
        </w:rPr>
        <w:t>做好学生健康状况监测工作，建立学生健康卡片（档案）。并对此进行认真统计、分析、上报。并按省“学校卫生工作条例检查评</w:t>
      </w:r>
      <w:r>
        <w:rPr>
          <w:rFonts w:hint="eastAsia"/>
          <w:b w:val="0"/>
          <w:bCs w:val="0"/>
          <w:sz w:val="28"/>
          <w:szCs w:val="28"/>
          <w:highlight w:val="none"/>
        </w:rPr>
        <w:t>估细则”建立健全档案资料。</w:t>
      </w:r>
    </w:p>
    <w:p w14:paraId="127654F3">
      <w:pPr>
        <w:pStyle w:val="40"/>
        <w:numPr>
          <w:ilvl w:val="0"/>
          <w:numId w:val="0"/>
        </w:numPr>
        <w:rPr>
          <w:rFonts w:hint="eastAsia"/>
          <w:b w:val="0"/>
          <w:bCs w:val="0"/>
          <w:sz w:val="28"/>
          <w:szCs w:val="28"/>
          <w:highlight w:val="none"/>
          <w:lang w:eastAsia="zh-CN"/>
        </w:rPr>
      </w:pPr>
      <w:r>
        <w:rPr>
          <w:rFonts w:hint="eastAsia"/>
          <w:b w:val="0"/>
          <w:bCs w:val="0"/>
          <w:sz w:val="28"/>
          <w:szCs w:val="28"/>
          <w:highlight w:val="none"/>
          <w:lang w:eastAsia="zh-CN"/>
        </w:rPr>
        <w:t>四、付款方式：</w:t>
      </w:r>
    </w:p>
    <w:p w14:paraId="64E21D30">
      <w:pPr>
        <w:rPr>
          <w:rFonts w:hint="eastAsia"/>
          <w:b w:val="0"/>
          <w:bCs w:val="0"/>
          <w:sz w:val="28"/>
          <w:szCs w:val="28"/>
          <w:highlight w:val="none"/>
          <w:lang w:eastAsia="zh-CN"/>
        </w:rPr>
      </w:pPr>
      <w:r>
        <w:rPr>
          <w:rFonts w:hint="eastAsia"/>
          <w:b w:val="0"/>
          <w:bCs w:val="0"/>
          <w:sz w:val="28"/>
          <w:szCs w:val="28"/>
          <w:highlight w:val="none"/>
          <w:lang w:eastAsia="zh-CN"/>
        </w:rPr>
        <w:t>每半年支付一次，每半年服务期结束支付上半年的服务费用。</w:t>
      </w:r>
    </w:p>
    <w:p w14:paraId="62945CCF">
      <w:pPr>
        <w:rPr>
          <w:rFonts w:hint="eastAsia"/>
          <w:sz w:val="28"/>
          <w:szCs w:val="28"/>
          <w:highlight w:val="none"/>
        </w:rPr>
      </w:pPr>
      <w:r>
        <w:rPr>
          <w:rFonts w:hint="eastAsia"/>
          <w:sz w:val="28"/>
          <w:szCs w:val="28"/>
          <w:highlight w:val="none"/>
          <w:lang w:eastAsia="zh-CN"/>
        </w:rPr>
        <w:t>五</w:t>
      </w:r>
      <w:r>
        <w:rPr>
          <w:rFonts w:hint="eastAsia"/>
          <w:sz w:val="28"/>
          <w:szCs w:val="28"/>
          <w:highlight w:val="none"/>
        </w:rPr>
        <w:t>、合同期满，乙方应无条件向甲方移交学生健康档案。乙方应保证甲方资产处于良好使用状态。</w:t>
      </w:r>
    </w:p>
    <w:p w14:paraId="0CC53DAC">
      <w:pPr>
        <w:rPr>
          <w:rFonts w:hint="eastAsia"/>
          <w:sz w:val="28"/>
          <w:szCs w:val="28"/>
          <w:highlight w:val="none"/>
        </w:rPr>
      </w:pPr>
      <w:r>
        <w:rPr>
          <w:rFonts w:hint="eastAsia"/>
          <w:sz w:val="28"/>
          <w:szCs w:val="28"/>
          <w:highlight w:val="none"/>
          <w:lang w:eastAsia="zh-CN"/>
        </w:rPr>
        <w:t>六</w:t>
      </w:r>
      <w:r>
        <w:rPr>
          <w:rFonts w:hint="eastAsia"/>
          <w:sz w:val="28"/>
          <w:szCs w:val="28"/>
          <w:highlight w:val="none"/>
        </w:rPr>
        <w:t>、合</w:t>
      </w:r>
      <w:r>
        <w:rPr>
          <w:rFonts w:hint="eastAsia"/>
          <w:sz w:val="28"/>
          <w:szCs w:val="28"/>
          <w:highlight w:val="none"/>
          <w:lang w:eastAsia="zh-CN"/>
        </w:rPr>
        <w:t>同</w:t>
      </w:r>
      <w:r>
        <w:rPr>
          <w:rFonts w:hint="eastAsia"/>
          <w:sz w:val="28"/>
          <w:szCs w:val="28"/>
          <w:highlight w:val="none"/>
        </w:rPr>
        <w:t>期内</w:t>
      </w:r>
      <w:r>
        <w:rPr>
          <w:rFonts w:hint="eastAsia"/>
          <w:sz w:val="28"/>
          <w:szCs w:val="28"/>
          <w:highlight w:val="none"/>
          <w:lang w:eastAsia="zh-CN"/>
        </w:rPr>
        <w:t>，</w:t>
      </w:r>
      <w:r>
        <w:rPr>
          <w:rFonts w:hint="eastAsia"/>
          <w:sz w:val="28"/>
          <w:szCs w:val="28"/>
          <w:highlight w:val="none"/>
        </w:rPr>
        <w:t>甲、乙双方应严格遵守承诺，如若违约，应</w:t>
      </w:r>
      <w:r>
        <w:rPr>
          <w:rFonts w:hint="eastAsia"/>
          <w:sz w:val="28"/>
          <w:szCs w:val="28"/>
          <w:highlight w:val="none"/>
          <w:lang w:eastAsia="zh-CN"/>
        </w:rPr>
        <w:t>给予</w:t>
      </w:r>
      <w:r>
        <w:rPr>
          <w:rFonts w:hint="eastAsia"/>
          <w:sz w:val="28"/>
          <w:szCs w:val="28"/>
          <w:highlight w:val="none"/>
        </w:rPr>
        <w:t>对方五</w:t>
      </w:r>
      <w:r>
        <w:rPr>
          <w:rFonts w:hint="eastAsia"/>
          <w:sz w:val="28"/>
          <w:szCs w:val="28"/>
          <w:highlight w:val="none"/>
          <w:lang w:eastAsia="zh-CN"/>
        </w:rPr>
        <w:t>仟</w:t>
      </w:r>
      <w:r>
        <w:rPr>
          <w:rFonts w:hint="eastAsia"/>
          <w:sz w:val="28"/>
          <w:szCs w:val="28"/>
          <w:highlight w:val="none"/>
        </w:rPr>
        <w:t>至</w:t>
      </w:r>
      <w:r>
        <w:rPr>
          <w:rFonts w:hint="eastAsia"/>
          <w:sz w:val="28"/>
          <w:szCs w:val="28"/>
          <w:highlight w:val="none"/>
          <w:lang w:eastAsia="zh-CN"/>
        </w:rPr>
        <w:t>壹</w:t>
      </w:r>
      <w:r>
        <w:rPr>
          <w:rFonts w:hint="eastAsia"/>
          <w:sz w:val="28"/>
          <w:szCs w:val="28"/>
          <w:highlight w:val="none"/>
        </w:rPr>
        <w:t>万元赔偿。</w:t>
      </w:r>
    </w:p>
    <w:p w14:paraId="69185597">
      <w:pPr>
        <w:rPr>
          <w:rFonts w:hint="eastAsia"/>
          <w:sz w:val="28"/>
          <w:szCs w:val="28"/>
          <w:highlight w:val="none"/>
        </w:rPr>
      </w:pPr>
      <w:r>
        <w:rPr>
          <w:rFonts w:hint="eastAsia"/>
          <w:sz w:val="28"/>
          <w:szCs w:val="28"/>
          <w:highlight w:val="none"/>
          <w:lang w:eastAsia="zh-CN"/>
        </w:rPr>
        <w:t>八、</w:t>
      </w:r>
      <w:r>
        <w:rPr>
          <w:rFonts w:hint="eastAsia"/>
          <w:sz w:val="28"/>
          <w:szCs w:val="28"/>
          <w:highlight w:val="none"/>
        </w:rPr>
        <w:t>合同未尽事宜，双方协商解决。</w:t>
      </w:r>
    </w:p>
    <w:p w14:paraId="2903EC21">
      <w:pPr>
        <w:rPr>
          <w:rFonts w:hint="eastAsia"/>
          <w:sz w:val="28"/>
          <w:szCs w:val="28"/>
          <w:highlight w:val="none"/>
        </w:rPr>
      </w:pPr>
      <w:r>
        <w:rPr>
          <w:rFonts w:hint="eastAsia"/>
          <w:sz w:val="28"/>
          <w:szCs w:val="28"/>
          <w:highlight w:val="none"/>
          <w:lang w:eastAsia="zh-CN"/>
        </w:rPr>
        <w:t>九</w:t>
      </w:r>
      <w:r>
        <w:rPr>
          <w:rFonts w:hint="eastAsia"/>
          <w:sz w:val="28"/>
          <w:szCs w:val="28"/>
          <w:highlight w:val="none"/>
        </w:rPr>
        <w:t>、合同有效期</w:t>
      </w:r>
      <w:r>
        <w:rPr>
          <w:rFonts w:hint="eastAsia"/>
          <w:sz w:val="28"/>
          <w:szCs w:val="28"/>
          <w:highlight w:val="none"/>
          <w:lang w:eastAsia="zh-CN"/>
        </w:rPr>
        <w:t>二</w:t>
      </w:r>
      <w:r>
        <w:rPr>
          <w:rFonts w:hint="eastAsia"/>
          <w:sz w:val="28"/>
          <w:szCs w:val="28"/>
          <w:highlight w:val="none"/>
        </w:rPr>
        <w:t>年</w:t>
      </w:r>
      <w:r>
        <w:rPr>
          <w:rFonts w:hint="eastAsia"/>
          <w:sz w:val="28"/>
          <w:szCs w:val="28"/>
          <w:highlight w:val="none"/>
          <w:lang w:eastAsia="zh-CN"/>
        </w:rPr>
        <w:t>（合同生效时间为：自乙方办好所有证件，正常营业服务开始）</w:t>
      </w:r>
      <w:r>
        <w:rPr>
          <w:rFonts w:hint="eastAsia"/>
          <w:sz w:val="28"/>
          <w:szCs w:val="28"/>
          <w:highlight w:val="none"/>
        </w:rPr>
        <w:t>，</w:t>
      </w:r>
      <w:r>
        <w:rPr>
          <w:rFonts w:hint="eastAsia"/>
          <w:sz w:val="28"/>
          <w:szCs w:val="28"/>
          <w:highlight w:val="none"/>
          <w:lang w:eastAsia="zh-CN"/>
        </w:rPr>
        <w:t>即</w:t>
      </w:r>
      <w:r>
        <w:rPr>
          <w:rFonts w:hint="eastAsia"/>
          <w:sz w:val="28"/>
          <w:szCs w:val="28"/>
          <w:highlight w:val="none"/>
        </w:rPr>
        <w:t xml:space="preserve">自     年  </w:t>
      </w:r>
      <w:r>
        <w:rPr>
          <w:rFonts w:hint="eastAsia"/>
          <w:sz w:val="28"/>
          <w:szCs w:val="28"/>
          <w:highlight w:val="none"/>
          <w:lang w:val="en-US" w:eastAsia="zh-CN"/>
        </w:rPr>
        <w:t xml:space="preserve"> </w:t>
      </w:r>
      <w:r>
        <w:rPr>
          <w:rFonts w:hint="eastAsia"/>
          <w:sz w:val="28"/>
          <w:szCs w:val="28"/>
          <w:highlight w:val="none"/>
        </w:rPr>
        <w:t>月   日起至   年   月   日</w:t>
      </w:r>
      <w:r>
        <w:rPr>
          <w:rFonts w:hint="eastAsia"/>
          <w:sz w:val="28"/>
          <w:szCs w:val="28"/>
          <w:highlight w:val="none"/>
          <w:lang w:val="en-US" w:eastAsia="zh-CN"/>
        </w:rPr>
        <w:t xml:space="preserve">   </w:t>
      </w:r>
      <w:r>
        <w:rPr>
          <w:rFonts w:hint="eastAsia"/>
          <w:sz w:val="28"/>
          <w:szCs w:val="28"/>
          <w:highlight w:val="none"/>
        </w:rPr>
        <w:t>止</w:t>
      </w:r>
      <w:r>
        <w:rPr>
          <w:rFonts w:hint="eastAsia"/>
          <w:sz w:val="28"/>
          <w:szCs w:val="28"/>
          <w:highlight w:val="none"/>
          <w:lang w:eastAsia="zh-CN"/>
        </w:rPr>
        <w:t>（具体服务人员工资支付，从医疗服务许可证颁发日的下月</w:t>
      </w:r>
      <w:r>
        <w:rPr>
          <w:rFonts w:hint="eastAsia"/>
          <w:sz w:val="28"/>
          <w:szCs w:val="28"/>
          <w:highlight w:val="none"/>
          <w:lang w:val="en-US" w:eastAsia="zh-CN"/>
        </w:rPr>
        <w:t>10</w:t>
      </w:r>
      <w:r>
        <w:rPr>
          <w:rFonts w:hint="eastAsia"/>
          <w:sz w:val="28"/>
          <w:szCs w:val="28"/>
          <w:highlight w:val="none"/>
          <w:lang w:eastAsia="zh-CN"/>
        </w:rPr>
        <w:t>起支付）</w:t>
      </w:r>
      <w:r>
        <w:rPr>
          <w:rFonts w:hint="eastAsia"/>
          <w:sz w:val="28"/>
          <w:szCs w:val="28"/>
          <w:highlight w:val="none"/>
        </w:rPr>
        <w:t>。</w:t>
      </w:r>
    </w:p>
    <w:p w14:paraId="2016E539">
      <w:pPr>
        <w:rPr>
          <w:rFonts w:hint="eastAsia"/>
          <w:sz w:val="28"/>
          <w:szCs w:val="28"/>
          <w:highlight w:val="none"/>
        </w:rPr>
      </w:pPr>
      <w:r>
        <w:rPr>
          <w:rFonts w:hint="eastAsia"/>
          <w:sz w:val="28"/>
          <w:szCs w:val="28"/>
          <w:highlight w:val="none"/>
          <w:lang w:eastAsia="zh-CN"/>
        </w:rPr>
        <w:t>十</w:t>
      </w:r>
      <w:r>
        <w:rPr>
          <w:rFonts w:hint="eastAsia"/>
          <w:sz w:val="28"/>
          <w:szCs w:val="28"/>
          <w:highlight w:val="none"/>
        </w:rPr>
        <w:t>、本合同一式四份，双方各执两份，自签字之日起生效。</w:t>
      </w:r>
    </w:p>
    <w:p w14:paraId="16D697E5">
      <w:pPr>
        <w:rPr>
          <w:rFonts w:hint="eastAsia"/>
          <w:sz w:val="28"/>
          <w:szCs w:val="28"/>
          <w:highlight w:val="none"/>
        </w:rPr>
      </w:pPr>
    </w:p>
    <w:p w14:paraId="2DBB8C86">
      <w:pPr>
        <w:rPr>
          <w:rFonts w:hint="eastAsia"/>
          <w:sz w:val="28"/>
          <w:szCs w:val="28"/>
          <w:highlight w:val="none"/>
        </w:rPr>
      </w:pPr>
      <w:r>
        <w:rPr>
          <w:rFonts w:hint="eastAsia"/>
          <w:sz w:val="28"/>
          <w:szCs w:val="28"/>
          <w:highlight w:val="none"/>
        </w:rPr>
        <w:t>甲方（盖章）：                             乙方（盖章）：</w:t>
      </w:r>
    </w:p>
    <w:p w14:paraId="0A8F32DF">
      <w:pPr>
        <w:rPr>
          <w:rFonts w:hint="eastAsia"/>
          <w:sz w:val="28"/>
          <w:szCs w:val="28"/>
          <w:highlight w:val="none"/>
        </w:rPr>
      </w:pPr>
    </w:p>
    <w:p w14:paraId="068B338D">
      <w:pPr>
        <w:rPr>
          <w:rFonts w:hint="eastAsia"/>
          <w:sz w:val="28"/>
          <w:szCs w:val="28"/>
          <w:highlight w:val="none"/>
        </w:rPr>
      </w:pPr>
      <w:r>
        <w:rPr>
          <w:rFonts w:hint="eastAsia"/>
          <w:sz w:val="28"/>
          <w:szCs w:val="28"/>
          <w:highlight w:val="none"/>
        </w:rPr>
        <w:t>甲方代表签字：                           乙方代表签字：</w:t>
      </w:r>
    </w:p>
    <w:p w14:paraId="1B93A40F">
      <w:pPr>
        <w:spacing w:line="360" w:lineRule="auto"/>
        <w:jc w:val="both"/>
        <w:outlineLvl w:val="0"/>
        <w:rPr>
          <w:rFonts w:hint="eastAsia"/>
          <w:sz w:val="28"/>
          <w:szCs w:val="28"/>
          <w:highlight w:val="none"/>
        </w:rPr>
      </w:pPr>
    </w:p>
    <w:p w14:paraId="27A89793">
      <w:pPr>
        <w:spacing w:line="360" w:lineRule="auto"/>
        <w:jc w:val="both"/>
        <w:outlineLvl w:val="0"/>
        <w:rPr>
          <w:rFonts w:hint="eastAsia" w:ascii="宋体" w:hAnsi="宋体" w:eastAsia="宋体" w:cs="宋体"/>
          <w:color w:val="auto"/>
          <w:sz w:val="24"/>
          <w:szCs w:val="24"/>
          <w:highlight w:val="none"/>
        </w:rPr>
      </w:pPr>
      <w:r>
        <w:rPr>
          <w:rFonts w:hint="eastAsia"/>
          <w:sz w:val="28"/>
          <w:szCs w:val="28"/>
          <w:highlight w:val="none"/>
        </w:rPr>
        <w:t>年     月     日                      年     月     日</w:t>
      </w:r>
    </w:p>
    <w:p w14:paraId="4940BFF5">
      <w:pPr>
        <w:spacing w:line="360" w:lineRule="auto"/>
        <w:ind w:firstLine="720" w:firstLineChars="300"/>
        <w:jc w:val="center"/>
        <w:outlineLvl w:val="0"/>
        <w:rPr>
          <w:rFonts w:hint="eastAsia" w:ascii="宋体" w:hAnsi="宋体" w:eastAsia="宋体" w:cs="宋体"/>
          <w:color w:val="auto"/>
          <w:sz w:val="24"/>
          <w:szCs w:val="24"/>
          <w:highlight w:val="none"/>
        </w:rPr>
      </w:pPr>
    </w:p>
    <w:p w14:paraId="2A96CD14">
      <w:pPr>
        <w:spacing w:line="360" w:lineRule="auto"/>
        <w:ind w:firstLine="720" w:firstLineChars="300"/>
        <w:jc w:val="center"/>
        <w:outlineLvl w:val="0"/>
        <w:rPr>
          <w:rFonts w:hint="eastAsia" w:ascii="宋体" w:hAnsi="宋体" w:eastAsia="宋体" w:cs="宋体"/>
          <w:color w:val="auto"/>
          <w:sz w:val="24"/>
          <w:szCs w:val="24"/>
          <w:highlight w:val="none"/>
        </w:rPr>
      </w:pPr>
    </w:p>
    <w:p w14:paraId="0F0BF736">
      <w:pPr>
        <w:spacing w:line="360" w:lineRule="auto"/>
        <w:jc w:val="center"/>
        <w:outlineLvl w:val="0"/>
        <w:rPr>
          <w:rFonts w:hint="eastAsia" w:asciiTheme="minorEastAsia" w:hAnsiTheme="minorEastAsia" w:eastAsiaTheme="minorEastAsia"/>
          <w:b/>
          <w:color w:val="auto"/>
          <w:sz w:val="28"/>
          <w:highlight w:val="none"/>
        </w:rPr>
      </w:pPr>
      <w:bookmarkStart w:id="16" w:name="_Toc18781"/>
    </w:p>
    <w:p w14:paraId="553D1082">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投标文件格式</w:t>
      </w:r>
      <w:bookmarkEnd w:id="16"/>
    </w:p>
    <w:p w14:paraId="0B02726C">
      <w:pPr>
        <w:keepNext w:val="0"/>
        <w:keepLines w:val="0"/>
        <w:widowControl w:val="0"/>
        <w:suppressLineNumbers w:val="0"/>
        <w:spacing w:before="0" w:beforeAutospacing="0" w:after="0" w:afterAutospacing="0"/>
        <w:ind w:left="0" w:right="0"/>
        <w:jc w:val="right"/>
        <w:outlineLvl w:val="9"/>
        <w:rPr>
          <w:rFonts w:hint="eastAsia" w:ascii="宋体" w:hAnsi="Times New Roman" w:eastAsia="宋体" w:cs="Times New Roman"/>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注明正本或副本</w:t>
      </w:r>
    </w:p>
    <w:p w14:paraId="2396AEC6">
      <w:pPr>
        <w:keepNext w:val="0"/>
        <w:keepLines w:val="0"/>
        <w:widowControl w:val="0"/>
        <w:suppressLineNumbers w:val="0"/>
        <w:spacing w:before="0" w:beforeAutospacing="0" w:after="0" w:afterAutospacing="0"/>
        <w:ind w:left="0" w:right="0"/>
        <w:jc w:val="center"/>
        <w:outlineLvl w:val="9"/>
        <w:rPr>
          <w:rFonts w:hint="eastAsia" w:ascii="Times New Roman" w:hAnsi="Times New Roman" w:eastAsia="黑体" w:cs="Times New Roman"/>
          <w:color w:val="auto"/>
          <w:kern w:val="2"/>
          <w:sz w:val="20"/>
          <w:szCs w:val="20"/>
          <w:highlight w:val="none"/>
        </w:rPr>
      </w:pPr>
      <w:r>
        <w:rPr>
          <w:rFonts w:hint="eastAsia" w:ascii="Times New Roman" w:hAnsi="Times New Roman" w:eastAsia="黑体" w:cs="Times New Roman"/>
          <w:color w:val="auto"/>
          <w:kern w:val="2"/>
          <w:sz w:val="20"/>
          <w:szCs w:val="20"/>
          <w:highlight w:val="none"/>
          <w:lang w:val="en-US" w:eastAsia="zh-CN" w:bidi="ar"/>
        </w:rPr>
        <w:t xml:space="preserve"> </w:t>
      </w:r>
    </w:p>
    <w:p w14:paraId="5F5BF10E">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黑体" w:cs="Times New Roman"/>
          <w:color w:val="auto"/>
          <w:kern w:val="2"/>
          <w:sz w:val="20"/>
          <w:szCs w:val="20"/>
          <w:highlight w:val="none"/>
        </w:rPr>
      </w:pPr>
      <w:r>
        <w:rPr>
          <w:rFonts w:hint="eastAsia" w:ascii="Times New Roman" w:hAnsi="Times New Roman" w:eastAsia="黑体" w:cs="Times New Roman"/>
          <w:color w:val="auto"/>
          <w:kern w:val="2"/>
          <w:sz w:val="20"/>
          <w:szCs w:val="20"/>
          <w:highlight w:val="none"/>
          <w:lang w:val="en-US" w:eastAsia="zh-CN" w:bidi="ar"/>
        </w:rPr>
        <w:t xml:space="preserve"> </w:t>
      </w:r>
    </w:p>
    <w:p w14:paraId="72DA934A">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宋体" w:eastAsia="宋体" w:cs="Times New Roman"/>
          <w:b/>
          <w:bCs w:val="0"/>
          <w:color w:val="auto"/>
          <w:kern w:val="2"/>
          <w:sz w:val="44"/>
          <w:szCs w:val="44"/>
          <w:highlight w:val="none"/>
          <w:lang w:val="en-US" w:eastAsia="zh-CN" w:bidi="ar"/>
        </w:rPr>
        <w:t xml:space="preserve"> </w:t>
      </w:r>
      <w:r>
        <w:rPr>
          <w:rFonts w:hint="eastAsia" w:ascii="宋体" w:hAnsi="宋体" w:eastAsia="宋体" w:cs="宋体"/>
          <w:b/>
          <w:bCs w:val="0"/>
          <w:color w:val="auto"/>
          <w:kern w:val="2"/>
          <w:sz w:val="44"/>
          <w:szCs w:val="44"/>
          <w:highlight w:val="none"/>
          <w:lang w:val="en-US" w:eastAsia="zh-CN" w:bidi="ar"/>
        </w:rPr>
        <w:t>资格证明文件</w:t>
      </w:r>
    </w:p>
    <w:p w14:paraId="7928FD50">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（投标文件一）</w:t>
      </w:r>
    </w:p>
    <w:p w14:paraId="1EDFC026">
      <w:pPr>
        <w:keepNext w:val="0"/>
        <w:keepLines w:val="0"/>
        <w:widowControl w:val="0"/>
        <w:suppressLineNumbers w:val="0"/>
        <w:spacing w:before="0" w:beforeAutospacing="0" w:after="0" w:afterAutospacing="0"/>
        <w:ind w:left="0" w:right="0"/>
        <w:jc w:val="center"/>
        <w:outlineLvl w:val="9"/>
        <w:rPr>
          <w:rFonts w:hint="eastAsia" w:ascii="宋体" w:hAnsi="宋体" w:eastAsia="宋体" w:cs="Times New Roman"/>
          <w:color w:val="auto"/>
          <w:kern w:val="2"/>
          <w:sz w:val="44"/>
          <w:szCs w:val="44"/>
          <w:highlight w:val="none"/>
        </w:rPr>
      </w:pPr>
      <w:r>
        <w:rPr>
          <w:rFonts w:hint="eastAsia" w:ascii="宋体" w:hAnsi="宋体" w:eastAsia="宋体" w:cs="Times New Roman"/>
          <w:color w:val="auto"/>
          <w:kern w:val="2"/>
          <w:sz w:val="44"/>
          <w:szCs w:val="44"/>
          <w:highlight w:val="none"/>
          <w:lang w:val="en-US" w:eastAsia="zh-CN" w:bidi="ar"/>
        </w:rPr>
        <w:t xml:space="preserve"> </w:t>
      </w:r>
    </w:p>
    <w:p w14:paraId="3BAA7695">
      <w:pPr>
        <w:keepNext w:val="0"/>
        <w:keepLines w:val="0"/>
        <w:widowControl w:val="0"/>
        <w:suppressLineNumbers w:val="0"/>
        <w:spacing w:before="0" w:beforeAutospacing="0" w:after="0" w:afterAutospacing="0"/>
        <w:ind w:right="0" w:firstLine="3200" w:firstLineChars="1000"/>
        <w:jc w:val="both"/>
        <w:outlineLvl w:val="9"/>
        <w:rPr>
          <w:rFonts w:hint="eastAsia" w:ascii="宋体" w:hAnsi="宋体"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项目名称：</w:t>
      </w:r>
      <w:r>
        <w:rPr>
          <w:rFonts w:hint="eastAsia" w:ascii="宋体" w:hAnsi="宋体" w:eastAsia="宋体" w:cs="Times New Roman"/>
          <w:color w:val="auto"/>
          <w:kern w:val="2"/>
          <w:sz w:val="32"/>
          <w:szCs w:val="32"/>
          <w:highlight w:val="none"/>
          <w:u w:val="single"/>
          <w:lang w:val="en-US" w:eastAsia="zh-CN" w:bidi="ar"/>
        </w:rPr>
        <w:t xml:space="preserve">       </w:t>
      </w:r>
    </w:p>
    <w:p w14:paraId="5303C1D8">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110E46D7">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r>
        <w:rPr>
          <w:rFonts w:hint="eastAsia" w:ascii="宋体" w:hAnsi="宋体" w:eastAsia="宋体" w:cs="Times New Roman"/>
          <w:color w:val="auto"/>
          <w:kern w:val="2"/>
          <w:sz w:val="28"/>
          <w:szCs w:val="28"/>
          <w:highlight w:val="none"/>
          <w:lang w:val="en-US" w:eastAsia="zh-CN" w:bidi="ar"/>
        </w:rPr>
        <w:t xml:space="preserve"> </w:t>
      </w:r>
    </w:p>
    <w:p w14:paraId="2252B45B">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2BD4CD48">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597662F9">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0BDC105F">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4E575202">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7C0A21B9">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1DCF9276">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71063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4831E3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597DE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3BB25E46">
      <w:pPr>
        <w:keepNext w:val="0"/>
        <w:keepLines w:val="0"/>
        <w:widowControl w:val="0"/>
        <w:suppressLineNumbers w:val="0"/>
        <w:spacing w:before="0" w:beforeAutospacing="0" w:after="0" w:afterAutospacing="0" w:line="720" w:lineRule="auto"/>
        <w:ind w:left="0" w:right="0"/>
        <w:jc w:val="center"/>
        <w:outlineLvl w:val="9"/>
        <w:rPr>
          <w:rFonts w:hint="eastAsia" w:ascii="宋体" w:hAnsi="Times New Roman" w:eastAsia="宋体" w:cs="Times New Roman"/>
          <w:b/>
          <w:bCs w:val="0"/>
          <w:color w:val="auto"/>
          <w:kern w:val="2"/>
          <w:sz w:val="36"/>
          <w:szCs w:val="36"/>
          <w:highlight w:val="none"/>
        </w:rPr>
      </w:pPr>
      <w:r>
        <w:rPr>
          <w:rFonts w:hint="eastAsia" w:ascii="宋体" w:hAnsi="Times New Roman" w:eastAsia="宋体" w:cs="Times New Roman"/>
          <w:b/>
          <w:bCs w:val="0"/>
          <w:color w:val="auto"/>
          <w:kern w:val="2"/>
          <w:sz w:val="36"/>
          <w:szCs w:val="36"/>
          <w:highlight w:val="none"/>
          <w:lang w:val="en-US" w:eastAsia="zh-CN" w:bidi="ar"/>
        </w:rPr>
        <w:t xml:space="preserve"> </w:t>
      </w:r>
    </w:p>
    <w:p w14:paraId="3FE61CBE">
      <w:pPr>
        <w:pStyle w:val="64"/>
        <w:widowControl/>
        <w:outlineLvl w:val="9"/>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 xml:space="preserve"> </w:t>
      </w:r>
    </w:p>
    <w:p w14:paraId="74872272">
      <w:pPr>
        <w:pStyle w:val="64"/>
        <w:widowControl/>
        <w:outlineLvl w:val="9"/>
        <w:rPr>
          <w:rFonts w:hint="eastAsia" w:ascii="Times New Roman" w:hAnsi="Times New Roman" w:eastAsia="宋体" w:cs="Times New Roman"/>
          <w:color w:val="auto"/>
          <w:kern w:val="2"/>
          <w:sz w:val="21"/>
          <w:szCs w:val="21"/>
          <w:highlight w:val="none"/>
        </w:rPr>
      </w:pPr>
    </w:p>
    <w:p w14:paraId="4CA8BD00">
      <w:pPr>
        <w:keepNext w:val="0"/>
        <w:keepLines w:val="0"/>
        <w:widowControl w:val="0"/>
        <w:suppressLineNumbers w:val="0"/>
        <w:spacing w:before="0" w:beforeAutospacing="0" w:after="0" w:afterAutospacing="0"/>
        <w:ind w:left="0" w:right="0"/>
        <w:jc w:val="center"/>
        <w:outlineLvl w:val="9"/>
        <w:rPr>
          <w:rFonts w:hint="eastAsia" w:ascii="Times New Roman" w:hAnsi="Times New Roman" w:eastAsia="宋体" w:cs="Times New Roman"/>
          <w:b/>
          <w:bCs w:val="0"/>
          <w:color w:val="auto"/>
          <w:kern w:val="2"/>
          <w:sz w:val="44"/>
          <w:szCs w:val="44"/>
          <w:highlight w:val="none"/>
        </w:rPr>
      </w:pPr>
      <w:r>
        <w:rPr>
          <w:rFonts w:hint="eastAsia" w:ascii="宋体" w:hAnsi="宋体" w:eastAsia="宋体" w:cs="宋体"/>
          <w:b/>
          <w:bCs w:val="0"/>
          <w:color w:val="auto"/>
          <w:kern w:val="2"/>
          <w:sz w:val="36"/>
          <w:szCs w:val="36"/>
          <w:highlight w:val="none"/>
          <w:lang w:val="en-US" w:eastAsia="zh-CN" w:bidi="ar"/>
        </w:rPr>
        <w:t>目</w:t>
      </w:r>
      <w:r>
        <w:rPr>
          <w:rFonts w:hint="eastAsia" w:ascii="Times New Roman" w:hAnsi="Times New Roman" w:eastAsia="宋体" w:cs="Times New Roman"/>
          <w:b/>
          <w:bCs w:val="0"/>
          <w:color w:val="auto"/>
          <w:kern w:val="2"/>
          <w:sz w:val="36"/>
          <w:szCs w:val="36"/>
          <w:highlight w:val="none"/>
          <w:lang w:val="en-US" w:eastAsia="zh-CN" w:bidi="ar"/>
        </w:rPr>
        <w:t xml:space="preserve">   </w:t>
      </w:r>
      <w:r>
        <w:rPr>
          <w:rFonts w:hint="eastAsia" w:ascii="宋体" w:hAnsi="宋体" w:eastAsia="宋体" w:cs="宋体"/>
          <w:b/>
          <w:bCs w:val="0"/>
          <w:color w:val="auto"/>
          <w:kern w:val="2"/>
          <w:sz w:val="36"/>
          <w:szCs w:val="36"/>
          <w:highlight w:val="none"/>
          <w:lang w:val="en-US" w:eastAsia="zh-CN" w:bidi="ar"/>
        </w:rPr>
        <w:t>录</w:t>
      </w:r>
    </w:p>
    <w:p w14:paraId="214FF98F">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7CB13F61">
      <w:pPr>
        <w:spacing w:line="360" w:lineRule="auto"/>
        <w:ind w:firstLine="484" w:firstLineChars="202"/>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（1）投标人资格声明书（格式见附件）；                                                                                                                                                                                                                                                                                                                                                                                                                                                                                                                                                                                                                                                                                                                                                                                                                                                                                                                                                                                                                                                                                                                                                                                                                                                                                                                                                                                                                                                                                                                                                                                             </w:t>
      </w:r>
    </w:p>
    <w:p w14:paraId="36D96805">
      <w:pPr>
        <w:spacing w:line="360" w:lineRule="auto"/>
        <w:ind w:firstLine="484" w:firstLineChars="202"/>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（2）授权书（格式见附件）；</w:t>
      </w:r>
    </w:p>
    <w:p w14:paraId="3CA52A26">
      <w:pPr>
        <w:spacing w:after="50" w:line="360" w:lineRule="auto"/>
        <w:ind w:right="-10" w:rightChars="0"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投标人为企业的，应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32BD379A">
      <w:pPr>
        <w:spacing w:line="360" w:lineRule="auto"/>
        <w:ind w:firstLine="484" w:firstLineChars="202"/>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诚信投标承诺书（格式见附件）；</w:t>
      </w:r>
    </w:p>
    <w:p w14:paraId="41F78BAA">
      <w:pPr>
        <w:spacing w:line="360" w:lineRule="auto"/>
        <w:ind w:firstLine="484" w:firstLineChars="202"/>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招标文件中要求的资信评审和资信评分的支持资料；</w:t>
      </w:r>
    </w:p>
    <w:p w14:paraId="2FB125D8">
      <w:pPr>
        <w:spacing w:line="360" w:lineRule="auto"/>
        <w:ind w:firstLine="484" w:firstLine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）投标人认为需要提供的其他资信证明材料。</w:t>
      </w:r>
    </w:p>
    <w:p w14:paraId="3EF15653">
      <w:pPr>
        <w:keepNext w:val="0"/>
        <w:keepLines w:val="0"/>
        <w:widowControl w:val="0"/>
        <w:suppressLineNumbers w:val="0"/>
        <w:spacing w:before="0" w:beforeAutospacing="0" w:after="0" w:afterAutospacing="0" w:line="360" w:lineRule="auto"/>
        <w:ind w:left="0" w:right="0" w:firstLine="527" w:firstLineChars="250"/>
        <w:jc w:val="both"/>
        <w:outlineLvl w:val="9"/>
        <w:rPr>
          <w:rFonts w:hint="eastAsia" w:ascii="Times New Roman" w:hAnsi="Times New Roman" w:eastAsia="宋体" w:cs="Times New Roman"/>
          <w:b/>
          <w:bCs w:val="0"/>
          <w:color w:val="auto"/>
          <w:kern w:val="2"/>
          <w:sz w:val="21"/>
          <w:szCs w:val="21"/>
          <w:highlight w:val="none"/>
        </w:rPr>
      </w:pPr>
      <w:r>
        <w:rPr>
          <w:rFonts w:hint="eastAsia" w:ascii="Times New Roman" w:hAnsi="Times New Roman" w:eastAsia="宋体" w:cs="Times New Roman"/>
          <w:b/>
          <w:bCs w:val="0"/>
          <w:color w:val="auto"/>
          <w:kern w:val="2"/>
          <w:sz w:val="21"/>
          <w:szCs w:val="21"/>
          <w:highlight w:val="none"/>
          <w:lang w:val="en-US" w:eastAsia="zh-CN" w:bidi="ar"/>
        </w:rPr>
        <w:t xml:space="preserve"> </w:t>
      </w:r>
    </w:p>
    <w:p w14:paraId="5E85ED53">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5C71DE99">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0BB0B9B0">
      <w:pPr>
        <w:spacing w:line="360" w:lineRule="auto"/>
        <w:jc w:val="center"/>
        <w:outlineLvl w:val="9"/>
        <w:rPr>
          <w:rFonts w:hint="eastAsia" w:asciiTheme="minorEastAsia" w:hAnsiTheme="minorEastAsia" w:eastAsiaTheme="minorEastAsia"/>
          <w:b/>
          <w:color w:val="auto"/>
          <w:sz w:val="24"/>
          <w:highlight w:val="none"/>
        </w:rPr>
      </w:pPr>
    </w:p>
    <w:p w14:paraId="4AB9CF14">
      <w:pPr>
        <w:spacing w:line="360" w:lineRule="auto"/>
        <w:jc w:val="center"/>
        <w:outlineLvl w:val="9"/>
        <w:rPr>
          <w:rFonts w:hint="eastAsia" w:asciiTheme="minorEastAsia" w:hAnsiTheme="minorEastAsia" w:eastAsiaTheme="minorEastAsia"/>
          <w:b/>
          <w:color w:val="auto"/>
          <w:sz w:val="24"/>
          <w:highlight w:val="none"/>
        </w:rPr>
      </w:pPr>
    </w:p>
    <w:p w14:paraId="42D01F39">
      <w:pPr>
        <w:spacing w:line="360" w:lineRule="auto"/>
        <w:jc w:val="center"/>
        <w:outlineLvl w:val="9"/>
        <w:rPr>
          <w:rFonts w:hint="eastAsia" w:asciiTheme="minorEastAsia" w:hAnsiTheme="minorEastAsia" w:eastAsiaTheme="minorEastAsia"/>
          <w:b/>
          <w:color w:val="auto"/>
          <w:sz w:val="24"/>
          <w:highlight w:val="none"/>
        </w:rPr>
      </w:pPr>
    </w:p>
    <w:p w14:paraId="45225977">
      <w:pPr>
        <w:spacing w:line="360" w:lineRule="auto"/>
        <w:jc w:val="center"/>
        <w:outlineLvl w:val="9"/>
        <w:rPr>
          <w:rFonts w:hint="eastAsia" w:asciiTheme="minorEastAsia" w:hAnsiTheme="minorEastAsia" w:eastAsiaTheme="minorEastAsia"/>
          <w:b/>
          <w:color w:val="auto"/>
          <w:sz w:val="24"/>
          <w:highlight w:val="none"/>
        </w:rPr>
      </w:pPr>
    </w:p>
    <w:p w14:paraId="5F162375">
      <w:pPr>
        <w:spacing w:line="360" w:lineRule="auto"/>
        <w:jc w:val="center"/>
        <w:outlineLvl w:val="9"/>
        <w:rPr>
          <w:rFonts w:hint="eastAsia" w:asciiTheme="minorEastAsia" w:hAnsiTheme="minorEastAsia" w:eastAsiaTheme="minorEastAsia"/>
          <w:b/>
          <w:color w:val="auto"/>
          <w:sz w:val="24"/>
          <w:highlight w:val="none"/>
        </w:rPr>
      </w:pPr>
    </w:p>
    <w:p w14:paraId="59B879BF">
      <w:pPr>
        <w:spacing w:line="360" w:lineRule="auto"/>
        <w:jc w:val="center"/>
        <w:outlineLvl w:val="9"/>
        <w:rPr>
          <w:rFonts w:hint="eastAsia" w:asciiTheme="minorEastAsia" w:hAnsiTheme="minorEastAsia" w:eastAsiaTheme="minorEastAsia"/>
          <w:b/>
          <w:color w:val="auto"/>
          <w:sz w:val="24"/>
          <w:highlight w:val="none"/>
        </w:rPr>
      </w:pPr>
    </w:p>
    <w:p w14:paraId="325C1FDC">
      <w:pPr>
        <w:spacing w:line="360" w:lineRule="auto"/>
        <w:jc w:val="center"/>
        <w:outlineLvl w:val="9"/>
        <w:rPr>
          <w:rFonts w:hint="eastAsia" w:asciiTheme="minorEastAsia" w:hAnsiTheme="minorEastAsia" w:eastAsiaTheme="minorEastAsia"/>
          <w:b/>
          <w:color w:val="auto"/>
          <w:sz w:val="24"/>
          <w:highlight w:val="none"/>
        </w:rPr>
      </w:pPr>
    </w:p>
    <w:p w14:paraId="0C221F7C">
      <w:pPr>
        <w:spacing w:line="360" w:lineRule="auto"/>
        <w:jc w:val="center"/>
        <w:outlineLvl w:val="9"/>
        <w:rPr>
          <w:rFonts w:hint="eastAsia" w:asciiTheme="minorEastAsia" w:hAnsiTheme="minorEastAsia" w:eastAsiaTheme="minorEastAsia"/>
          <w:b/>
          <w:color w:val="auto"/>
          <w:sz w:val="24"/>
          <w:highlight w:val="none"/>
        </w:rPr>
      </w:pPr>
    </w:p>
    <w:p w14:paraId="541EF9E4">
      <w:pPr>
        <w:spacing w:line="360" w:lineRule="auto"/>
        <w:jc w:val="center"/>
        <w:outlineLvl w:val="9"/>
        <w:rPr>
          <w:rFonts w:hint="eastAsia" w:asciiTheme="minorEastAsia" w:hAnsiTheme="minorEastAsia" w:eastAsiaTheme="minorEastAsia"/>
          <w:b/>
          <w:color w:val="auto"/>
          <w:sz w:val="24"/>
          <w:highlight w:val="none"/>
        </w:rPr>
      </w:pPr>
    </w:p>
    <w:p w14:paraId="048181F3">
      <w:pPr>
        <w:spacing w:line="360" w:lineRule="auto"/>
        <w:jc w:val="center"/>
        <w:outlineLvl w:val="9"/>
        <w:rPr>
          <w:rFonts w:hint="eastAsia" w:asciiTheme="minorEastAsia" w:hAnsiTheme="minorEastAsia" w:eastAsiaTheme="minorEastAsia"/>
          <w:b/>
          <w:color w:val="auto"/>
          <w:sz w:val="24"/>
          <w:highlight w:val="none"/>
        </w:rPr>
      </w:pPr>
    </w:p>
    <w:p w14:paraId="7466636F">
      <w:pPr>
        <w:spacing w:line="360" w:lineRule="auto"/>
        <w:jc w:val="center"/>
        <w:outlineLvl w:val="9"/>
        <w:rPr>
          <w:rFonts w:hint="eastAsia" w:asciiTheme="minorEastAsia" w:hAnsiTheme="minorEastAsia" w:eastAsiaTheme="minorEastAsia"/>
          <w:b/>
          <w:color w:val="auto"/>
          <w:sz w:val="24"/>
          <w:highlight w:val="none"/>
        </w:rPr>
      </w:pPr>
    </w:p>
    <w:p w14:paraId="778A4918">
      <w:pPr>
        <w:spacing w:line="360" w:lineRule="auto"/>
        <w:jc w:val="center"/>
        <w:outlineLvl w:val="9"/>
        <w:rPr>
          <w:rFonts w:hint="eastAsia" w:asciiTheme="minorEastAsia" w:hAnsiTheme="minorEastAsia" w:eastAsiaTheme="minorEastAsia"/>
          <w:b/>
          <w:color w:val="auto"/>
          <w:sz w:val="24"/>
          <w:highlight w:val="none"/>
        </w:rPr>
      </w:pPr>
    </w:p>
    <w:p w14:paraId="02D4B331">
      <w:pPr>
        <w:spacing w:line="360" w:lineRule="auto"/>
        <w:jc w:val="center"/>
        <w:outlineLvl w:val="9"/>
        <w:rPr>
          <w:rFonts w:hint="eastAsia" w:asciiTheme="minorEastAsia" w:hAnsiTheme="minorEastAsia" w:eastAsiaTheme="minorEastAsia"/>
          <w:b/>
          <w:color w:val="auto"/>
          <w:sz w:val="24"/>
          <w:highlight w:val="none"/>
        </w:rPr>
      </w:pPr>
    </w:p>
    <w:p w14:paraId="494CE88E">
      <w:pPr>
        <w:spacing w:line="360" w:lineRule="auto"/>
        <w:jc w:val="center"/>
        <w:outlineLvl w:val="9"/>
        <w:rPr>
          <w:rFonts w:hint="eastAsia" w:asciiTheme="minorEastAsia" w:hAnsiTheme="minorEastAsia" w:eastAsiaTheme="minorEastAsia"/>
          <w:b/>
          <w:color w:val="auto"/>
          <w:sz w:val="24"/>
          <w:highlight w:val="none"/>
        </w:rPr>
      </w:pPr>
    </w:p>
    <w:p w14:paraId="6831ABD2">
      <w:pPr>
        <w:spacing w:line="360" w:lineRule="auto"/>
        <w:jc w:val="center"/>
        <w:outlineLvl w:val="9"/>
        <w:rPr>
          <w:rFonts w:hint="eastAsia" w:asciiTheme="minorEastAsia" w:hAnsiTheme="minorEastAsia" w:eastAsiaTheme="minorEastAsia"/>
          <w:b/>
          <w:color w:val="auto"/>
          <w:sz w:val="24"/>
          <w:highlight w:val="none"/>
        </w:rPr>
      </w:pPr>
    </w:p>
    <w:p w14:paraId="5F3171AD">
      <w:pPr>
        <w:pStyle w:val="30"/>
        <w:outlineLvl w:val="9"/>
        <w:rPr>
          <w:rFonts w:hint="eastAsia" w:asciiTheme="minorEastAsia" w:hAnsiTheme="minorEastAsia" w:eastAsiaTheme="minorEastAsia"/>
          <w:b/>
          <w:color w:val="auto"/>
          <w:sz w:val="24"/>
          <w:highlight w:val="none"/>
        </w:rPr>
      </w:pPr>
    </w:p>
    <w:p w14:paraId="3756FA55">
      <w:pPr>
        <w:pStyle w:val="30"/>
        <w:outlineLvl w:val="9"/>
        <w:rPr>
          <w:rFonts w:hint="eastAsia" w:asciiTheme="minorEastAsia" w:hAnsiTheme="minorEastAsia" w:eastAsiaTheme="minorEastAsia"/>
          <w:b/>
          <w:color w:val="auto"/>
          <w:sz w:val="24"/>
          <w:highlight w:val="none"/>
        </w:rPr>
      </w:pPr>
    </w:p>
    <w:p w14:paraId="34F822D8">
      <w:pPr>
        <w:spacing w:line="360" w:lineRule="auto"/>
        <w:jc w:val="center"/>
        <w:outlineLvl w:val="9"/>
        <w:rPr>
          <w:rFonts w:hint="eastAsia" w:asciiTheme="minorEastAsia" w:hAnsiTheme="minorEastAsia" w:eastAsiaTheme="minorEastAsia"/>
          <w:b/>
          <w:color w:val="auto"/>
          <w:sz w:val="24"/>
          <w:highlight w:val="none"/>
        </w:rPr>
      </w:pPr>
    </w:p>
    <w:p w14:paraId="05D1079F">
      <w:pPr>
        <w:spacing w:line="360" w:lineRule="auto"/>
        <w:jc w:val="center"/>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一、投标人资格声明书 </w:t>
      </w:r>
    </w:p>
    <w:p w14:paraId="3F1E0A4C">
      <w:pPr>
        <w:pStyle w:val="12"/>
        <w:spacing w:line="360" w:lineRule="auto"/>
        <w:outlineLvl w:val="9"/>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7E7DCD89">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在参与本次项目投标中，我单位承诺：</w:t>
      </w:r>
    </w:p>
    <w:p w14:paraId="3B430F5C">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16B10960">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20C17042">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37FC5949">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FA2008">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（五）我单位不属于政府采购法律、行政法规规定的公益一类事业单位</w:t>
      </w:r>
      <w:r>
        <w:rPr>
          <w:rFonts w:hint="eastAsia" w:asciiTheme="minorEastAsia" w:hAnsiTheme="minorEastAsia" w:eastAsiaTheme="minorEastAsia" w:cstheme="minorEastAsia"/>
          <w:color w:val="auto"/>
          <w:kern w:val="0"/>
          <w:sz w:val="24"/>
          <w:szCs w:val="24"/>
          <w:highlight w:val="none"/>
          <w:lang w:eastAsia="zh-CN" w:bidi="ar"/>
        </w:rPr>
        <w:t>或</w:t>
      </w:r>
      <w:r>
        <w:rPr>
          <w:rFonts w:hint="eastAsia" w:asciiTheme="minorEastAsia" w:hAnsiTheme="minorEastAsia" w:eastAsiaTheme="minorEastAsia" w:cstheme="minorEastAsia"/>
          <w:color w:val="auto"/>
          <w:kern w:val="0"/>
          <w:sz w:val="24"/>
          <w:szCs w:val="24"/>
          <w:highlight w:val="none"/>
          <w:lang w:bidi="ar"/>
        </w:rPr>
        <w:t xml:space="preserve">使用事业编制且由财政拨款保障的群团组织（仅适用于政府购买服务项目）； </w:t>
      </w:r>
    </w:p>
    <w:p w14:paraId="24ABBCEF">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（六）我单位不存在为采购项目提供整体设计、规范编制或者项目管理、监理、检测等服务后，再参加该采购项目的其他采购活动的情形（单一来源采购项目除外）；</w:t>
      </w:r>
    </w:p>
    <w:p w14:paraId="6B7BD11F">
      <w:pPr>
        <w:widowControl/>
        <w:spacing w:line="360" w:lineRule="auto"/>
        <w:ind w:firstLine="480" w:firstLineChars="200"/>
        <w:jc w:val="left"/>
        <w:outlineLvl w:val="9"/>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（七）与我单位存在单位负责人为同一人或者存在直接控股、管理关系的其他法人单位信息如下（如有，不论其是否参加同一合同项下的政府采购活动均须填写）：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088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128A3A">
            <w:pPr>
              <w:keepNext w:val="0"/>
              <w:keepLines w:val="0"/>
              <w:widowControl/>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2841" w:type="dxa"/>
          </w:tcPr>
          <w:p w14:paraId="4A4D7F34">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2841" w:type="dxa"/>
          </w:tcPr>
          <w:p w14:paraId="1A15C735">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4381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CFB8878">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2841" w:type="dxa"/>
          </w:tcPr>
          <w:p w14:paraId="28AF08D6">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c>
          <w:tcPr>
            <w:tcW w:w="2841" w:type="dxa"/>
          </w:tcPr>
          <w:p w14:paraId="5DF2B7C8">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r>
      <w:tr w14:paraId="629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4D1386D">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2841" w:type="dxa"/>
          </w:tcPr>
          <w:p w14:paraId="796E8A48">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c>
          <w:tcPr>
            <w:tcW w:w="2841" w:type="dxa"/>
          </w:tcPr>
          <w:p w14:paraId="20BBE072">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r>
    </w:tbl>
    <w:p w14:paraId="6DC9487E">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5DEEE928">
      <w:pPr>
        <w:spacing w:line="360" w:lineRule="auto"/>
        <w:ind w:firstLine="4800" w:firstLineChars="2000"/>
        <w:outlineLvl w:val="9"/>
        <w:rPr>
          <w:rFonts w:ascii="宋体" w:hAnsi="宋体" w:eastAsia="宋体"/>
          <w:color w:val="auto"/>
          <w:sz w:val="24"/>
          <w:highlight w:val="none"/>
        </w:rPr>
      </w:pPr>
    </w:p>
    <w:p w14:paraId="31738637">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Theme="minorEastAsia" w:hAnsiTheme="minorEastAsia" w:eastAsiaTheme="minorEastAsia"/>
          <w:color w:val="auto"/>
          <w:sz w:val="24"/>
          <w:szCs w:val="28"/>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7F0A7ED">
      <w:pPr>
        <w:tabs>
          <w:tab w:val="left" w:pos="630"/>
        </w:tabs>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666EE90">
      <w:pPr>
        <w:spacing w:line="360" w:lineRule="auto"/>
        <w:ind w:firstLine="4800" w:firstLineChars="2000"/>
        <w:outlineLvl w:val="9"/>
        <w:rPr>
          <w:rFonts w:ascii="宋体" w:hAnsi="宋体" w:eastAsia="宋体"/>
          <w:color w:val="auto"/>
          <w:sz w:val="24"/>
          <w:szCs w:val="24"/>
          <w:highlight w:val="none"/>
          <w:u w:val="single"/>
        </w:rPr>
      </w:pPr>
    </w:p>
    <w:p w14:paraId="55DADE62">
      <w:pPr>
        <w:pStyle w:val="19"/>
        <w:spacing w:before="0" w:after="120" w:afterAutospacing="0"/>
        <w:jc w:val="both"/>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89227CC">
      <w:pPr>
        <w:pStyle w:val="19"/>
        <w:spacing w:before="0" w:after="120" w:afterAutospacing="0"/>
        <w:jc w:val="both"/>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0DA0EA">
      <w:pPr>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67E308BF">
      <w:pPr>
        <w:spacing w:line="360" w:lineRule="auto"/>
        <w:jc w:val="center"/>
        <w:outlineLvl w:val="9"/>
        <w:rPr>
          <w:rFonts w:asciiTheme="minorEastAsia" w:hAnsiTheme="minorEastAsia" w:eastAsiaTheme="minorEastAsia"/>
          <w:b/>
          <w:color w:val="auto"/>
          <w:sz w:val="24"/>
          <w:highlight w:val="none"/>
        </w:rPr>
      </w:pPr>
      <w:r>
        <w:rPr>
          <w:rFonts w:hint="eastAsia" w:ascii="宋体" w:hAnsi="宋体" w:eastAsia="宋体" w:cs="宋体"/>
          <w:b/>
          <w:color w:val="auto"/>
          <w:sz w:val="24"/>
          <w:szCs w:val="24"/>
          <w:highlight w:val="none"/>
          <w:lang w:bidi="ar"/>
        </w:rPr>
        <w:t>二、</w:t>
      </w:r>
      <w:r>
        <w:rPr>
          <w:rFonts w:hint="eastAsia" w:asciiTheme="minorEastAsia" w:hAnsiTheme="minorEastAsia" w:eastAsiaTheme="minorEastAsia"/>
          <w:b/>
          <w:color w:val="auto"/>
          <w:sz w:val="24"/>
          <w:highlight w:val="none"/>
        </w:rPr>
        <w:t>授权书</w:t>
      </w:r>
    </w:p>
    <w:p w14:paraId="0BD37C21">
      <w:pPr>
        <w:pStyle w:val="11"/>
        <w:snapToGrid w:val="0"/>
        <w:spacing w:line="360" w:lineRule="auto"/>
        <w:ind w:firstLine="480" w:firstLineChars="200"/>
        <w:jc w:val="left"/>
        <w:outlineLvl w:val="9"/>
        <w:rPr>
          <w:rFonts w:hAnsi="宋体" w:eastAsia="宋体"/>
          <w:color w:val="auto"/>
          <w:sz w:val="24"/>
          <w:szCs w:val="28"/>
          <w:highlight w:val="none"/>
        </w:rPr>
      </w:pPr>
    </w:p>
    <w:p w14:paraId="4B4DB150">
      <w:pPr>
        <w:spacing w:line="360" w:lineRule="auto"/>
        <w:ind w:firstLine="435"/>
        <w:outlineLvl w:val="9"/>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E983428">
      <w:pPr>
        <w:spacing w:line="360" w:lineRule="auto"/>
        <w:ind w:firstLine="435"/>
        <w:outlineLvl w:val="9"/>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015EA87">
      <w:pPr>
        <w:spacing w:line="360" w:lineRule="auto"/>
        <w:ind w:firstLine="435"/>
        <w:outlineLvl w:val="9"/>
        <w:rPr>
          <w:rFonts w:hAnsi="宋体" w:eastAsia="宋体"/>
          <w:b/>
          <w:bCs/>
          <w:color w:val="auto"/>
          <w:sz w:val="24"/>
          <w:highlight w:val="none"/>
        </w:rPr>
      </w:pPr>
      <w:r>
        <w:rPr>
          <w:rFonts w:hint="eastAsia" w:hAnsi="宋体" w:eastAsia="宋体"/>
          <w:b/>
          <w:bCs/>
          <w:color w:val="auto"/>
          <w:sz w:val="24"/>
          <w:szCs w:val="28"/>
          <w:highlight w:val="none"/>
        </w:rPr>
        <w:t>授权</w:t>
      </w:r>
      <w:r>
        <w:rPr>
          <w:rFonts w:hint="eastAsia" w:asciiTheme="minorEastAsia" w:hAnsiTheme="minorEastAsia" w:eastAsiaTheme="minorEastAsia"/>
          <w:b/>
          <w:bCs/>
          <w:color w:val="auto"/>
          <w:sz w:val="24"/>
          <w:highlight w:val="none"/>
        </w:rPr>
        <w:t>代表</w:t>
      </w:r>
      <w:r>
        <w:rPr>
          <w:rFonts w:hint="eastAsia" w:hAnsi="宋体" w:eastAsia="宋体"/>
          <w:b/>
          <w:bCs/>
          <w:color w:val="auto"/>
          <w:sz w:val="24"/>
          <w:highlight w:val="none"/>
        </w:rPr>
        <w:t>身份证明扫描件：</w:t>
      </w:r>
    </w:p>
    <w:p w14:paraId="53D30A98">
      <w:pPr>
        <w:spacing w:line="360" w:lineRule="auto"/>
        <w:ind w:firstLine="435"/>
        <w:outlineLvl w:val="9"/>
        <w:rPr>
          <w:rFonts w:asciiTheme="minorEastAsia" w:hAnsiTheme="minorEastAsia" w:eastAsiaTheme="minorEastAsia"/>
          <w:color w:val="auto"/>
          <w:sz w:val="24"/>
          <w:highlight w:val="none"/>
        </w:rPr>
      </w:pPr>
    </w:p>
    <w:p w14:paraId="624A42FB">
      <w:pPr>
        <w:spacing w:line="360" w:lineRule="auto"/>
        <w:ind w:firstLine="435"/>
        <w:outlineLvl w:val="9"/>
        <w:rPr>
          <w:rFonts w:asciiTheme="minorEastAsia" w:hAnsiTheme="minorEastAsia" w:eastAsiaTheme="minorEastAsia"/>
          <w:color w:val="auto"/>
          <w:sz w:val="24"/>
          <w:highlight w:val="none"/>
        </w:rPr>
      </w:pPr>
    </w:p>
    <w:p w14:paraId="55F88840">
      <w:pPr>
        <w:spacing w:line="360" w:lineRule="auto"/>
        <w:ind w:firstLine="435"/>
        <w:outlineLvl w:val="9"/>
        <w:rPr>
          <w:rFonts w:asciiTheme="minorEastAsia" w:hAnsiTheme="minorEastAsia" w:eastAsiaTheme="minorEastAsia"/>
          <w:color w:val="auto"/>
          <w:sz w:val="24"/>
          <w:highlight w:val="none"/>
        </w:rPr>
      </w:pPr>
    </w:p>
    <w:p w14:paraId="3A8FDCC3">
      <w:pPr>
        <w:spacing w:line="360" w:lineRule="auto"/>
        <w:ind w:firstLine="435"/>
        <w:outlineLvl w:val="9"/>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3C14F2B1">
      <w:pPr>
        <w:spacing w:line="360" w:lineRule="auto"/>
        <w:ind w:firstLine="435"/>
        <w:outlineLvl w:val="9"/>
        <w:rPr>
          <w:rFonts w:hAnsi="宋体" w:eastAsia="宋体"/>
          <w:color w:val="auto"/>
          <w:sz w:val="24"/>
          <w:szCs w:val="28"/>
          <w:highlight w:val="none"/>
          <w:lang w:val="zh-CN"/>
        </w:rPr>
      </w:pPr>
    </w:p>
    <w:p w14:paraId="0AAF3F94">
      <w:pPr>
        <w:spacing w:line="360" w:lineRule="auto"/>
        <w:ind w:firstLine="435"/>
        <w:outlineLvl w:val="9"/>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0026CAFD">
      <w:pPr>
        <w:spacing w:line="360" w:lineRule="auto"/>
        <w:outlineLvl w:val="9"/>
        <w:rPr>
          <w:rFonts w:ascii="宋体" w:hAnsi="宋体" w:eastAsia="宋体"/>
          <w:color w:val="auto"/>
          <w:sz w:val="24"/>
          <w:szCs w:val="28"/>
          <w:highlight w:val="none"/>
        </w:rPr>
      </w:pPr>
    </w:p>
    <w:p w14:paraId="6B46048E">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829A1B6">
      <w:pPr>
        <w:tabs>
          <w:tab w:val="left" w:pos="630"/>
        </w:tabs>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702DC185">
      <w:pPr>
        <w:spacing w:line="360" w:lineRule="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2665F5A4">
      <w:pPr>
        <w:spacing w:line="360" w:lineRule="auto"/>
        <w:ind w:firstLine="435"/>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1.本项目只允许有唯一的投标人授权代表，提供身份证明</w:t>
      </w:r>
      <w:r>
        <w:rPr>
          <w:rFonts w:hint="eastAsia" w:asciiTheme="minorEastAsia" w:hAnsiTheme="minorEastAsia" w:eastAsiaTheme="minorEastAsia"/>
          <w:b/>
          <w:bCs/>
          <w:color w:val="auto"/>
          <w:sz w:val="24"/>
          <w:highlight w:val="none"/>
          <w:lang w:val="en-US" w:eastAsia="zh-CN"/>
        </w:rPr>
        <w:t>复印件</w:t>
      </w:r>
      <w:r>
        <w:rPr>
          <w:rFonts w:hint="eastAsia" w:asciiTheme="minorEastAsia" w:hAnsiTheme="minorEastAsia" w:eastAsiaTheme="minorEastAsia"/>
          <w:b/>
          <w:bCs/>
          <w:color w:val="auto"/>
          <w:sz w:val="24"/>
          <w:highlight w:val="none"/>
        </w:rPr>
        <w:t>；</w:t>
      </w:r>
    </w:p>
    <w:p w14:paraId="308D64D4">
      <w:pPr>
        <w:spacing w:line="360" w:lineRule="auto"/>
        <w:ind w:firstLine="435"/>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2.法定代表人参加投标的无需提供授权书，提供身份证明</w:t>
      </w:r>
      <w:r>
        <w:rPr>
          <w:rFonts w:hint="eastAsia" w:asciiTheme="minorEastAsia" w:hAnsiTheme="minorEastAsia" w:eastAsiaTheme="minorEastAsia"/>
          <w:b/>
          <w:bCs/>
          <w:color w:val="auto"/>
          <w:sz w:val="24"/>
          <w:highlight w:val="none"/>
          <w:lang w:val="en-US" w:eastAsia="zh-CN"/>
        </w:rPr>
        <w:t>复印件</w:t>
      </w:r>
      <w:r>
        <w:rPr>
          <w:rFonts w:hint="eastAsia" w:asciiTheme="minorEastAsia" w:hAnsiTheme="minorEastAsia" w:eastAsiaTheme="minorEastAsia"/>
          <w:b/>
          <w:bCs/>
          <w:color w:val="auto"/>
          <w:sz w:val="24"/>
          <w:highlight w:val="none"/>
        </w:rPr>
        <w:t>。</w:t>
      </w:r>
    </w:p>
    <w:p w14:paraId="3B61E119">
      <w:pPr>
        <w:widowControl/>
        <w:jc w:val="left"/>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5054BE2">
      <w:pPr>
        <w:spacing w:line="360" w:lineRule="auto"/>
        <w:jc w:val="center"/>
        <w:outlineLvl w:val="9"/>
        <w:rPr>
          <w:rFonts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三、诚信投标承诺书</w:t>
      </w:r>
    </w:p>
    <w:p w14:paraId="273CE1BD">
      <w:pPr>
        <w:spacing w:line="50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本人以企业法定代表人的身份郑重承诺：</w:t>
      </w:r>
    </w:p>
    <w:p w14:paraId="65ACD1D2">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一、将遵循公开、公正和诚实信用的原则自愿参加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项目的投标，所提供的一切材料都是真实、有效、合法的；</w:t>
      </w:r>
    </w:p>
    <w:p w14:paraId="31FA4E0A">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A90ACEC">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三、不出借、转让资质证书，不让他人挂靠投标，不以他人名义投标或者以其他方式弄虚作假，骗取中标；</w:t>
      </w:r>
    </w:p>
    <w:p w14:paraId="4B46CB07">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四、不与其他投标人相互串通投标报价，不排挤其他投标人的公平竞争、损害招标人的合法权益；</w:t>
      </w:r>
    </w:p>
    <w:p w14:paraId="75E79798">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五、不与招标人、招标代理机构或其他投标人串通投标，损害国家利益、社会公共利益或者他人的合法权益；</w:t>
      </w:r>
    </w:p>
    <w:p w14:paraId="50AF8A12">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六、</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（企业名称）   </w:t>
      </w:r>
      <w:r>
        <w:rPr>
          <w:rFonts w:hint="eastAsia" w:ascii="宋体" w:hAnsi="宋体" w:eastAsia="宋体" w:cs="宋体"/>
          <w:color w:val="auto"/>
          <w:kern w:val="0"/>
          <w:sz w:val="24"/>
          <w:szCs w:val="24"/>
          <w:highlight w:val="none"/>
          <w:lang w:val="en-US" w:eastAsia="zh-CN" w:bidi="ar"/>
        </w:rPr>
        <w:t>或</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（企业名称）  </w:t>
      </w:r>
      <w:r>
        <w:rPr>
          <w:rFonts w:hint="eastAsia" w:ascii="宋体" w:hAnsi="宋体" w:eastAsia="宋体" w:cs="宋体"/>
          <w:color w:val="auto"/>
          <w:sz w:val="24"/>
          <w:szCs w:val="24"/>
          <w:highlight w:val="none"/>
          <w:lang w:val="en-US" w:eastAsia="zh-CN"/>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 1-7 项信誉要求，在此一并承诺我公司所属分公司、办事处等分支机构没有上述 1-7 项情形）</w:t>
      </w:r>
    </w:p>
    <w:p w14:paraId="7DDC1C88">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七、严格遵守开标现场纪律，服从监管人员管理；</w:t>
      </w:r>
    </w:p>
    <w:p w14:paraId="3C2EC9BE">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八、保证中标后不转包，若有分包征得招标人同意；</w:t>
      </w:r>
    </w:p>
    <w:p w14:paraId="69FE5217">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九</w:t>
      </w:r>
      <w:r>
        <w:rPr>
          <w:rFonts w:hint="eastAsia" w:ascii="宋体" w:hAnsi="宋体" w:eastAsia="宋体" w:cs="宋体"/>
          <w:color w:val="auto"/>
          <w:sz w:val="24"/>
          <w:szCs w:val="24"/>
          <w:highlight w:val="none"/>
          <w:lang w:bidi="ar"/>
        </w:rPr>
        <w:t>、保证中标之后，按照投标文件要求提供相关后续服务；</w:t>
      </w:r>
    </w:p>
    <w:p w14:paraId="5CA034EA">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十、保证企业及所属相关人员在本次投标中无行贿等犯罪行为；</w:t>
      </w:r>
    </w:p>
    <w:p w14:paraId="091AD8D1">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一</w:t>
      </w:r>
      <w:r>
        <w:rPr>
          <w:rFonts w:hint="eastAsia" w:ascii="宋体" w:hAnsi="宋体" w:eastAsia="宋体" w:cs="宋体"/>
          <w:color w:val="auto"/>
          <w:sz w:val="24"/>
          <w:szCs w:val="24"/>
          <w:highlight w:val="none"/>
          <w:lang w:bidi="ar"/>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5FC7B4D">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以上内容我已仔细阅读，本公司若有违反承诺内容的行为，自愿接受取消投标或者中标资格、记入不良行为记录等有关处理，愿意承担法律责任，给招标人造成损失的，依法承担赔偿责任。</w:t>
      </w:r>
    </w:p>
    <w:p w14:paraId="22132DB7">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4CD78CE">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开户银行：                      基本账户：</w:t>
      </w:r>
    </w:p>
    <w:p w14:paraId="69A060EF">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投标单位（</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color w:val="auto"/>
          <w:sz w:val="24"/>
          <w:szCs w:val="24"/>
          <w:highlight w:val="none"/>
          <w:lang w:bidi="ar"/>
        </w:rPr>
        <w:t>）：              法定代表人（</w:t>
      </w:r>
      <w:r>
        <w:rPr>
          <w:rFonts w:hint="eastAsia" w:ascii="宋体" w:hAnsi="宋体" w:eastAsia="宋体" w:cs="宋体"/>
          <w:color w:val="auto"/>
          <w:sz w:val="24"/>
          <w:szCs w:val="24"/>
          <w:highlight w:val="none"/>
          <w:lang w:val="en-US" w:eastAsia="zh-CN" w:bidi="ar"/>
        </w:rPr>
        <w:t>盖章或签字</w:t>
      </w:r>
      <w:r>
        <w:rPr>
          <w:rFonts w:hint="eastAsia" w:ascii="宋体" w:hAnsi="宋体" w:eastAsia="宋体" w:cs="宋体"/>
          <w:color w:val="auto"/>
          <w:sz w:val="24"/>
          <w:szCs w:val="24"/>
          <w:highlight w:val="none"/>
          <w:lang w:bidi="ar"/>
        </w:rPr>
        <w:t>）：</w:t>
      </w:r>
    </w:p>
    <w:p w14:paraId="48B39275">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2C065FFB">
      <w:pPr>
        <w:spacing w:line="560" w:lineRule="exact"/>
        <w:jc w:val="right"/>
        <w:outlineLvl w:val="9"/>
        <w:rPr>
          <w:rFonts w:ascii="仿宋_GB2312" w:eastAsia="仿宋_GB2312" w:cs="仿宋_GB2312"/>
          <w:color w:val="auto"/>
          <w:sz w:val="24"/>
          <w:szCs w:val="24"/>
          <w:highlight w:val="none"/>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年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月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0B9CF2FC">
      <w:pPr>
        <w:spacing w:line="360" w:lineRule="auto"/>
        <w:jc w:val="center"/>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F225603">
      <w:pPr>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4969885E">
      <w:pPr>
        <w:keepNext w:val="0"/>
        <w:keepLines w:val="0"/>
        <w:widowControl w:val="0"/>
        <w:suppressLineNumbers w:val="0"/>
        <w:spacing w:before="0" w:beforeAutospacing="0" w:after="0" w:afterAutospacing="0"/>
        <w:ind w:left="0" w:right="0"/>
        <w:jc w:val="right"/>
        <w:outlineLvl w:val="9"/>
        <w:rPr>
          <w:rFonts w:hint="eastAsia" w:ascii="宋体" w:hAnsi="宋体" w:eastAsia="宋体" w:cs="宋体"/>
          <w:b/>
          <w:bCs/>
          <w:color w:val="auto"/>
          <w:kern w:val="2"/>
          <w:sz w:val="30"/>
          <w:szCs w:val="30"/>
          <w:highlight w:val="none"/>
          <w:lang w:val="en-US" w:eastAsia="zh-CN" w:bidi="ar"/>
        </w:rPr>
      </w:pPr>
    </w:p>
    <w:p w14:paraId="3A1EE88C">
      <w:pPr>
        <w:keepNext w:val="0"/>
        <w:keepLines w:val="0"/>
        <w:widowControl w:val="0"/>
        <w:suppressLineNumbers w:val="0"/>
        <w:spacing w:before="0" w:beforeAutospacing="0" w:after="0" w:afterAutospacing="0"/>
        <w:ind w:left="0" w:right="0"/>
        <w:jc w:val="right"/>
        <w:outlineLvl w:val="9"/>
        <w:rPr>
          <w:rFonts w:hint="eastAsia" w:ascii="宋体" w:hAnsi="宋体" w:eastAsia="宋体" w:cs="宋体"/>
          <w:b/>
          <w:bCs/>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bidi="ar"/>
        </w:rPr>
        <w:t>注明正本或副本</w:t>
      </w:r>
    </w:p>
    <w:p w14:paraId="0DF7B85C">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48"/>
          <w:szCs w:val="48"/>
          <w:highlight w:val="none"/>
        </w:rPr>
      </w:pPr>
      <w:r>
        <w:rPr>
          <w:rFonts w:hint="eastAsia" w:ascii="宋体" w:hAnsi="Times New Roman" w:eastAsia="宋体" w:cs="Times New Roman"/>
          <w:color w:val="auto"/>
          <w:kern w:val="2"/>
          <w:sz w:val="48"/>
          <w:szCs w:val="48"/>
          <w:highlight w:val="none"/>
          <w:lang w:val="en-US" w:eastAsia="zh-CN" w:bidi="ar"/>
        </w:rPr>
        <w:t xml:space="preserve"> </w:t>
      </w:r>
    </w:p>
    <w:p w14:paraId="6DF8B2A7">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48"/>
          <w:szCs w:val="48"/>
          <w:highlight w:val="none"/>
        </w:rPr>
      </w:pPr>
      <w:r>
        <w:rPr>
          <w:rFonts w:hint="eastAsia" w:ascii="宋体" w:hAnsi="宋体" w:eastAsia="宋体" w:cs="宋体"/>
          <w:color w:val="auto"/>
          <w:kern w:val="2"/>
          <w:sz w:val="48"/>
          <w:szCs w:val="48"/>
          <w:highlight w:val="none"/>
          <w:lang w:val="en-US" w:eastAsia="zh-CN" w:bidi="ar"/>
        </w:rPr>
        <w:t>技术标文件</w:t>
      </w:r>
    </w:p>
    <w:p w14:paraId="301094A2">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b/>
          <w:bCs w:val="0"/>
          <w:color w:val="auto"/>
          <w:kern w:val="2"/>
          <w:sz w:val="21"/>
          <w:szCs w:val="21"/>
          <w:highlight w:val="none"/>
        </w:rPr>
      </w:pPr>
      <w:r>
        <w:rPr>
          <w:rFonts w:hint="eastAsia" w:ascii="宋体" w:hAnsi="Times New Roman" w:eastAsia="宋体" w:cs="Times New Roman"/>
          <w:b/>
          <w:bCs w:val="0"/>
          <w:color w:val="auto"/>
          <w:kern w:val="2"/>
          <w:sz w:val="21"/>
          <w:szCs w:val="21"/>
          <w:highlight w:val="none"/>
          <w:lang w:val="en-US" w:eastAsia="zh-CN" w:bidi="ar"/>
        </w:rPr>
        <w:t xml:space="preserve"> </w:t>
      </w:r>
    </w:p>
    <w:p w14:paraId="155E3705">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（投标文件二）</w:t>
      </w:r>
    </w:p>
    <w:p w14:paraId="281A6ABB">
      <w:pPr>
        <w:keepNext w:val="0"/>
        <w:keepLines w:val="0"/>
        <w:widowControl w:val="0"/>
        <w:suppressLineNumbers w:val="0"/>
        <w:spacing w:before="0" w:beforeAutospacing="0" w:after="0" w:afterAutospacing="0"/>
        <w:ind w:left="0" w:right="0"/>
        <w:jc w:val="center"/>
        <w:outlineLvl w:val="9"/>
        <w:rPr>
          <w:rFonts w:hint="eastAsia" w:ascii="Times New Roman" w:hAnsi="Times New Roman" w:eastAsia="黑体" w:cs="Times New Roman"/>
          <w:color w:val="auto"/>
          <w:kern w:val="2"/>
          <w:sz w:val="44"/>
          <w:szCs w:val="44"/>
          <w:highlight w:val="none"/>
        </w:rPr>
      </w:pPr>
      <w:r>
        <w:rPr>
          <w:rFonts w:hint="eastAsia" w:ascii="Times New Roman" w:hAnsi="Times New Roman" w:eastAsia="黑体" w:cs="Times New Roman"/>
          <w:color w:val="auto"/>
          <w:kern w:val="2"/>
          <w:sz w:val="44"/>
          <w:szCs w:val="44"/>
          <w:highlight w:val="none"/>
          <w:lang w:val="en-US" w:eastAsia="zh-CN" w:bidi="ar"/>
        </w:rPr>
        <w:t xml:space="preserve"> </w:t>
      </w:r>
    </w:p>
    <w:p w14:paraId="423E3495">
      <w:pPr>
        <w:keepNext w:val="0"/>
        <w:keepLines w:val="0"/>
        <w:widowControl w:val="0"/>
        <w:suppressLineNumbers w:val="0"/>
        <w:spacing w:before="0" w:beforeAutospacing="0" w:after="0" w:afterAutospacing="0"/>
        <w:ind w:right="0" w:firstLine="3080" w:firstLineChars="1100"/>
        <w:jc w:val="both"/>
        <w:outlineLvl w:val="9"/>
        <w:rPr>
          <w:rFonts w:hint="eastAsia" w:ascii="宋体" w:hAnsi="Times New Roman"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项目名称：</w:t>
      </w:r>
      <w:r>
        <w:rPr>
          <w:rFonts w:hint="eastAsia" w:ascii="宋体" w:hAnsi="Times New Roman" w:eastAsia="宋体" w:cs="Times New Roman"/>
          <w:color w:val="auto"/>
          <w:kern w:val="2"/>
          <w:sz w:val="28"/>
          <w:szCs w:val="28"/>
          <w:highlight w:val="none"/>
          <w:u w:val="single"/>
          <w:lang w:val="en-US" w:eastAsia="zh-CN" w:bidi="ar"/>
        </w:rPr>
        <w:t xml:space="preserve">     </w:t>
      </w:r>
    </w:p>
    <w:p w14:paraId="35A2C990">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41581AD">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28336C96">
      <w:pPr>
        <w:pStyle w:val="19"/>
        <w:keepNext w:val="0"/>
        <w:keepLines w:val="0"/>
        <w:widowControl w:val="0"/>
        <w:suppressLineNumbers w:val="0"/>
        <w:spacing w:before="0" w:beforeAutospacing="1" w:after="120" w:afterAutospacing="0"/>
        <w:ind w:left="420" w:leftChars="200" w:right="0" w:firstLine="560" w:firstLineChars="20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7323F14D">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145B6AE">
      <w:pPr>
        <w:pStyle w:val="19"/>
        <w:keepNext w:val="0"/>
        <w:keepLines w:val="0"/>
        <w:widowControl w:val="0"/>
        <w:suppressLineNumbers w:val="0"/>
        <w:spacing w:before="0" w:beforeAutospacing="1" w:after="120" w:afterAutospacing="0"/>
        <w:ind w:left="420" w:leftChars="200" w:right="0" w:firstLine="420" w:firstLineChars="200"/>
        <w:jc w:val="both"/>
        <w:outlineLvl w:val="9"/>
        <w:rPr>
          <w:rFonts w:hint="eastAsia" w:ascii="Times New Roman" w:hAnsi="Times New Roman" w:eastAsia="宋体" w:cs="Times New Roman"/>
          <w:color w:val="auto"/>
          <w:kern w:val="2"/>
          <w:sz w:val="21"/>
          <w:szCs w:val="21"/>
          <w:highlight w:val="none"/>
          <w:lang w:val="en-US" w:eastAsia="zh-CN" w:bidi="ar"/>
        </w:rPr>
      </w:pPr>
    </w:p>
    <w:p w14:paraId="7B8AA2EB">
      <w:pPr>
        <w:pStyle w:val="19"/>
        <w:keepNext w:val="0"/>
        <w:keepLines w:val="0"/>
        <w:widowControl w:val="0"/>
        <w:suppressLineNumbers w:val="0"/>
        <w:spacing w:before="0" w:beforeAutospacing="1" w:after="120" w:afterAutospacing="0"/>
        <w:ind w:left="420" w:leftChars="200" w:right="0" w:firstLine="420" w:firstLineChars="200"/>
        <w:jc w:val="both"/>
        <w:outlineLvl w:val="9"/>
        <w:rPr>
          <w:rFonts w:hint="eastAsia" w:ascii="Times New Roman" w:hAnsi="Times New Roman" w:eastAsia="宋体" w:cs="Times New Roman"/>
          <w:color w:val="auto"/>
          <w:kern w:val="2"/>
          <w:sz w:val="21"/>
          <w:szCs w:val="21"/>
          <w:highlight w:val="none"/>
          <w:lang w:val="en-US" w:eastAsia="zh-CN" w:bidi="ar"/>
        </w:rPr>
      </w:pPr>
    </w:p>
    <w:p w14:paraId="41B39CEB">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5A137F9C">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38E870C3">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66A1C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7BB1E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5C84D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13762492">
      <w:pPr>
        <w:keepNext w:val="0"/>
        <w:keepLines w:val="0"/>
        <w:widowControl w:val="0"/>
        <w:suppressLineNumbers w:val="0"/>
        <w:spacing w:before="0" w:beforeAutospacing="0" w:after="0" w:afterAutospacing="0"/>
        <w:ind w:left="0" w:right="0" w:firstLine="1400" w:firstLineChars="50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57BBDE4B">
      <w:pPr>
        <w:pStyle w:val="19"/>
        <w:keepNext w:val="0"/>
        <w:keepLines w:val="0"/>
        <w:widowControl w:val="0"/>
        <w:suppressLineNumbers w:val="0"/>
        <w:spacing w:before="0" w:beforeAutospacing="1" w:after="120" w:afterAutospacing="0"/>
        <w:ind w:left="420" w:leftChars="200" w:right="0" w:firstLine="560" w:firstLineChars="20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4B03856C">
      <w:pPr>
        <w:keepNext w:val="0"/>
        <w:keepLines w:val="0"/>
        <w:widowControl w:val="0"/>
        <w:suppressLineNumbers w:val="0"/>
        <w:spacing w:before="0" w:beforeAutospacing="0" w:after="0" w:afterAutospacing="0" w:line="400" w:lineRule="exact"/>
        <w:ind w:left="0" w:right="0"/>
        <w:jc w:val="center"/>
        <w:outlineLvl w:val="9"/>
        <w:rPr>
          <w:rFonts w:hint="eastAsia" w:ascii="宋体" w:hAnsi="宋体" w:eastAsia="宋体" w:cs="宋体"/>
          <w:b/>
          <w:bCs w:val="0"/>
          <w:color w:val="auto"/>
          <w:kern w:val="2"/>
          <w:sz w:val="36"/>
          <w:szCs w:val="36"/>
          <w:highlight w:val="none"/>
          <w:lang w:val="en-US" w:eastAsia="zh-CN" w:bidi="ar"/>
        </w:rPr>
      </w:pPr>
    </w:p>
    <w:p w14:paraId="696576F8">
      <w:pPr>
        <w:keepNext w:val="0"/>
        <w:keepLines w:val="0"/>
        <w:widowControl w:val="0"/>
        <w:suppressLineNumbers w:val="0"/>
        <w:spacing w:before="0" w:beforeAutospacing="0" w:after="0" w:afterAutospacing="0" w:line="400" w:lineRule="exact"/>
        <w:ind w:left="0" w:right="0"/>
        <w:jc w:val="center"/>
        <w:outlineLvl w:val="9"/>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目   录</w:t>
      </w:r>
    </w:p>
    <w:p w14:paraId="769417EC">
      <w:pPr>
        <w:keepNext w:val="0"/>
        <w:keepLines w:val="0"/>
        <w:widowControl w:val="0"/>
        <w:suppressLineNumbers w:val="0"/>
        <w:spacing w:before="0" w:beforeAutospacing="0" w:after="0" w:afterAutospacing="0" w:line="400" w:lineRule="exact"/>
        <w:ind w:left="0" w:right="0" w:firstLine="3744" w:firstLineChars="1036"/>
        <w:jc w:val="both"/>
        <w:outlineLvl w:val="9"/>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 xml:space="preserve"> </w:t>
      </w:r>
    </w:p>
    <w:p w14:paraId="6436897A">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诚信履约承诺函（格式见附件）</w:t>
      </w:r>
    </w:p>
    <w:p w14:paraId="27B513F6">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（2）招标文件中要求的技术标评审及技术标评分的支持资料；</w:t>
      </w:r>
    </w:p>
    <w:p w14:paraId="061BEBCC">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（3）投标人认为需要提供的其他技术证明材料。</w:t>
      </w:r>
    </w:p>
    <w:p w14:paraId="223EAE12">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051A494">
      <w:pPr>
        <w:pStyle w:val="19"/>
        <w:keepNext w:val="0"/>
        <w:keepLines w:val="0"/>
        <w:widowControl w:val="0"/>
        <w:suppressLineNumbers w:val="0"/>
        <w:spacing w:before="0" w:beforeAutospacing="1" w:after="120" w:afterAutospacing="0" w:line="360" w:lineRule="auto"/>
        <w:ind w:left="420" w:leftChars="20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B8E9A92">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4E4A3FD7">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C437EB3">
      <w:pPr>
        <w:pStyle w:val="19"/>
        <w:keepNext w:val="0"/>
        <w:keepLines w:val="0"/>
        <w:widowControl w:val="0"/>
        <w:suppressLineNumbers w:val="0"/>
        <w:spacing w:before="0" w:beforeAutospacing="1" w:after="120" w:afterAutospacing="0" w:line="360" w:lineRule="auto"/>
        <w:ind w:left="420" w:leftChars="20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30C0C551">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4581176">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3D316D6">
      <w:pPr>
        <w:pStyle w:val="19"/>
        <w:keepNext w:val="0"/>
        <w:keepLines w:val="0"/>
        <w:widowControl w:val="0"/>
        <w:suppressLineNumbers w:val="0"/>
        <w:spacing w:before="0" w:beforeAutospacing="1" w:after="120" w:afterAutospacing="0" w:line="360" w:lineRule="auto"/>
        <w:ind w:left="420" w:leftChars="20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10FA55B1">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 xml:space="preserve"> </w:t>
      </w:r>
    </w:p>
    <w:p w14:paraId="3F534585">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lang w:val="en-US" w:eastAsia="zh-CN" w:bidi="ar"/>
        </w:rPr>
      </w:pPr>
    </w:p>
    <w:p w14:paraId="17396C21">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 xml:space="preserve"> </w:t>
      </w:r>
    </w:p>
    <w:p w14:paraId="0FE89FC9">
      <w:pPr>
        <w:pStyle w:val="2"/>
        <w:rPr>
          <w:rFonts w:hint="eastAsia" w:ascii="宋体" w:hAnsi="宋体" w:eastAsia="宋体" w:cs="宋体"/>
          <w:b/>
          <w:bCs w:val="0"/>
          <w:color w:val="auto"/>
          <w:kern w:val="2"/>
          <w:sz w:val="28"/>
          <w:szCs w:val="28"/>
          <w:highlight w:val="none"/>
          <w:lang w:val="en-US" w:eastAsia="zh-CN" w:bidi="ar"/>
        </w:rPr>
      </w:pPr>
    </w:p>
    <w:p w14:paraId="4476AC94">
      <w:pPr>
        <w:rPr>
          <w:rFonts w:hint="eastAsia"/>
          <w:highlight w:val="none"/>
        </w:rPr>
      </w:pPr>
    </w:p>
    <w:p w14:paraId="4455FD6A">
      <w:pPr>
        <w:keepNext w:val="0"/>
        <w:keepLines w:val="0"/>
        <w:widowControl w:val="0"/>
        <w:suppressLineNumbers w:val="0"/>
        <w:spacing w:before="0" w:beforeAutospacing="0" w:after="0" w:afterAutospacing="0" w:line="360" w:lineRule="auto"/>
        <w:ind w:left="0" w:right="0"/>
        <w:jc w:val="center"/>
        <w:outlineLvl w:val="9"/>
        <w:rPr>
          <w:rFonts w:hint="eastAsia" w:ascii="宋体" w:hAnsi="宋体" w:eastAsia="宋体" w:cs="宋体"/>
          <w:b/>
          <w:bCs w:val="0"/>
          <w:color w:val="auto"/>
          <w:kern w:val="2"/>
          <w:sz w:val="24"/>
          <w:szCs w:val="24"/>
          <w:highlight w:val="none"/>
          <w:lang w:val="en-US" w:eastAsia="zh-CN" w:bidi="ar"/>
        </w:rPr>
      </w:pPr>
    </w:p>
    <w:p w14:paraId="0683CC00">
      <w:pPr>
        <w:keepNext w:val="0"/>
        <w:keepLines w:val="0"/>
        <w:widowControl w:val="0"/>
        <w:suppressLineNumbers w:val="0"/>
        <w:spacing w:before="0" w:beforeAutospacing="0" w:after="0" w:afterAutospacing="0" w:line="360" w:lineRule="auto"/>
        <w:ind w:left="0" w:right="0"/>
        <w:jc w:val="center"/>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一、诚信履约承诺函</w:t>
      </w:r>
    </w:p>
    <w:p w14:paraId="2DA8B71A">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bidi="ar"/>
        </w:rPr>
        <w:t xml:space="preserve"> </w:t>
      </w:r>
    </w:p>
    <w:p w14:paraId="16B23B1A">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u w:val="single"/>
        </w:rPr>
      </w:pPr>
      <w:r>
        <w:rPr>
          <w:rFonts w:hint="eastAsia" w:ascii="宋体" w:hAnsi="宋体" w:eastAsia="宋体" w:cs="宋体"/>
          <w:b/>
          <w:bCs/>
          <w:color w:val="auto"/>
          <w:kern w:val="2"/>
          <w:sz w:val="24"/>
          <w:szCs w:val="24"/>
          <w:highlight w:val="none"/>
          <w:lang w:val="en-US" w:eastAsia="zh-CN" w:bidi="ar"/>
        </w:rPr>
        <w:t>致：采购人</w:t>
      </w:r>
    </w:p>
    <w:p w14:paraId="0BD44E76">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3BE17152">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（1）中标或者成交后无正当理由拒不与采购人签订政府采购合同；</w:t>
      </w:r>
    </w:p>
    <w:p w14:paraId="33221085">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（2）未按照采购文件确定的事项签订政府采购合同；</w:t>
      </w:r>
    </w:p>
    <w:p w14:paraId="4372DCF5">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（3）将政府采购合同转包；</w:t>
      </w:r>
    </w:p>
    <w:p w14:paraId="0289FF79">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（4）提供假冒伪劣产品；</w:t>
      </w:r>
    </w:p>
    <w:p w14:paraId="558272D2">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（5）擅自变更、中止或者终止政府采购合同。</w:t>
      </w:r>
    </w:p>
    <w:p w14:paraId="263F73DB">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26B312E">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本承诺声明：</w:t>
      </w:r>
      <w:r>
        <w:rPr>
          <w:rFonts w:hint="eastAsia" w:ascii="宋体" w:hAnsi="宋体" w:eastAsia="宋体" w:cs="@仿宋_GB2312"/>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u w:val="single"/>
          <w:lang w:val="en-US" w:eastAsia="zh-CN" w:bidi="ar"/>
        </w:rPr>
        <w:t>（投标人名称）</w:t>
      </w:r>
      <w:r>
        <w:rPr>
          <w:rFonts w:hint="eastAsia" w:ascii="宋体" w:hAnsi="宋体" w:eastAsia="宋体" w:cs="@仿宋_GB2312"/>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lang w:val="en-US" w:eastAsia="zh-CN" w:bidi="ar"/>
        </w:rPr>
        <w:t>对本招标文件的相关要求完全响应。若有幸中标将严格按照以上承诺进行供货和服务。</w:t>
      </w:r>
    </w:p>
    <w:p w14:paraId="0736687C">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p>
    <w:p w14:paraId="186E364E">
      <w:pPr>
        <w:keepNext w:val="0"/>
        <w:keepLines w:val="0"/>
        <w:widowControl w:val="0"/>
        <w:suppressLineNumbers w:val="0"/>
        <w:spacing w:before="0" w:beforeAutospacing="0" w:after="0" w:afterAutospacing="0" w:line="360" w:lineRule="auto"/>
        <w:ind w:left="0" w:right="0" w:firstLine="4320" w:firstLineChars="1800"/>
        <w:jc w:val="both"/>
        <w:outlineLvl w:val="9"/>
        <w:rPr>
          <w:rFonts w:hint="eastAsia" w:ascii="宋体" w:hAnsi="宋体" w:eastAsia="宋体" w:cs="@仿宋_GB2312"/>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投标人</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仿宋_GB2312"/>
          <w:bCs/>
          <w:color w:val="auto"/>
          <w:kern w:val="2"/>
          <w:sz w:val="24"/>
          <w:szCs w:val="24"/>
          <w:highlight w:val="none"/>
          <w:u w:val="single"/>
          <w:lang w:val="en-US" w:eastAsia="zh-CN" w:bidi="ar"/>
        </w:rPr>
        <w:t xml:space="preserve">             </w:t>
      </w:r>
    </w:p>
    <w:p w14:paraId="04B04279">
      <w:pPr>
        <w:keepNext w:val="0"/>
        <w:keepLines w:val="0"/>
        <w:widowControl w:val="0"/>
        <w:suppressLineNumbers w:val="0"/>
        <w:spacing w:before="0" w:beforeAutospacing="0" w:after="0" w:afterAutospacing="0" w:line="360" w:lineRule="auto"/>
        <w:ind w:left="0" w:right="0" w:firstLine="4320" w:firstLineChars="18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期：</w:t>
      </w:r>
      <w:r>
        <w:rPr>
          <w:rFonts w:hint="eastAsia" w:ascii="宋体" w:hAnsi="宋体" w:eastAsia="宋体" w:cs="@仿宋_GB2312"/>
          <w:bCs/>
          <w:color w:val="auto"/>
          <w:kern w:val="2"/>
          <w:sz w:val="24"/>
          <w:szCs w:val="24"/>
          <w:highlight w:val="none"/>
          <w:u w:val="single"/>
          <w:lang w:val="en-US" w:eastAsia="zh-CN" w:bidi="ar"/>
        </w:rPr>
        <w:t xml:space="preserve">             </w:t>
      </w:r>
    </w:p>
    <w:p w14:paraId="76613BB7">
      <w:pPr>
        <w:keepNext w:val="0"/>
        <w:keepLines w:val="0"/>
        <w:widowControl/>
        <w:suppressLineNumbers w:val="0"/>
        <w:spacing w:before="0" w:beforeAutospacing="0" w:after="0" w:afterAutospacing="0"/>
        <w:ind w:left="0" w:right="0"/>
        <w:jc w:val="left"/>
        <w:outlineLvl w:val="9"/>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br w:type="page"/>
      </w:r>
    </w:p>
    <w:p w14:paraId="0FD6669A">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宋体" w:cs="Times New Roman"/>
          <w:color w:val="auto"/>
          <w:kern w:val="2"/>
          <w:sz w:val="21"/>
          <w:szCs w:val="21"/>
          <w:highlight w:val="none"/>
        </w:rPr>
      </w:pPr>
    </w:p>
    <w:p w14:paraId="7561351D">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3301BB08">
      <w:pPr>
        <w:keepNext w:val="0"/>
        <w:keepLines w:val="0"/>
        <w:widowControl w:val="0"/>
        <w:suppressLineNumbers w:val="0"/>
        <w:spacing w:before="0" w:beforeAutospacing="0" w:after="0" w:afterAutospacing="0"/>
        <w:ind w:left="0" w:right="0"/>
        <w:jc w:val="right"/>
        <w:outlineLvl w:val="9"/>
        <w:rPr>
          <w:rFonts w:hint="eastAsia" w:ascii="宋体" w:hAnsi="宋体" w:eastAsia="宋体" w:cs="宋体"/>
          <w:b/>
          <w:bCs/>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bidi="ar"/>
        </w:rPr>
        <w:t>注明正本或副本</w:t>
      </w:r>
    </w:p>
    <w:p w14:paraId="51936912">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Times New Roman" w:eastAsia="宋体" w:cs="Times New Roman"/>
          <w:b/>
          <w:bCs w:val="0"/>
          <w:color w:val="auto"/>
          <w:kern w:val="2"/>
          <w:sz w:val="44"/>
          <w:szCs w:val="44"/>
          <w:highlight w:val="none"/>
          <w:lang w:val="en-US" w:eastAsia="zh-CN" w:bidi="ar"/>
        </w:rPr>
        <w:t xml:space="preserve"> </w:t>
      </w:r>
    </w:p>
    <w:p w14:paraId="0958208F">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Times New Roman" w:eastAsia="宋体" w:cs="Times New Roman"/>
          <w:b/>
          <w:bCs w:val="0"/>
          <w:color w:val="auto"/>
          <w:kern w:val="2"/>
          <w:sz w:val="44"/>
          <w:szCs w:val="44"/>
          <w:highlight w:val="none"/>
          <w:lang w:val="en-US" w:eastAsia="zh-CN" w:bidi="ar"/>
        </w:rPr>
        <w:t xml:space="preserve"> </w:t>
      </w:r>
    </w:p>
    <w:p w14:paraId="4D91AECE">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商务标</w:t>
      </w:r>
    </w:p>
    <w:p w14:paraId="65E12ED4">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6"/>
          <w:szCs w:val="36"/>
          <w:highlight w:val="none"/>
        </w:rPr>
      </w:pPr>
      <w:r>
        <w:rPr>
          <w:rFonts w:hint="eastAsia" w:ascii="宋体" w:hAnsi="宋体" w:eastAsia="宋体" w:cs="宋体"/>
          <w:color w:val="auto"/>
          <w:kern w:val="2"/>
          <w:sz w:val="44"/>
          <w:szCs w:val="44"/>
          <w:highlight w:val="none"/>
          <w:lang w:val="en-US" w:eastAsia="zh-CN" w:bidi="ar"/>
        </w:rPr>
        <w:t>（</w:t>
      </w:r>
      <w:r>
        <w:rPr>
          <w:rFonts w:hint="eastAsia" w:ascii="宋体" w:hAnsi="宋体" w:eastAsia="宋体" w:cs="宋体"/>
          <w:color w:val="auto"/>
          <w:kern w:val="2"/>
          <w:sz w:val="36"/>
          <w:szCs w:val="36"/>
          <w:highlight w:val="none"/>
          <w:lang w:val="en-US" w:eastAsia="zh-CN" w:bidi="ar"/>
        </w:rPr>
        <w:t>投标文件三）</w:t>
      </w:r>
    </w:p>
    <w:p w14:paraId="4F339E87">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6"/>
          <w:szCs w:val="36"/>
          <w:highlight w:val="none"/>
        </w:rPr>
      </w:pPr>
      <w:r>
        <w:rPr>
          <w:rFonts w:hint="eastAsia" w:ascii="宋体" w:hAnsi="Times New Roman" w:eastAsia="宋体" w:cs="Times New Roman"/>
          <w:color w:val="auto"/>
          <w:kern w:val="2"/>
          <w:sz w:val="36"/>
          <w:szCs w:val="36"/>
          <w:highlight w:val="none"/>
          <w:lang w:val="en-US" w:eastAsia="zh-CN" w:bidi="ar"/>
        </w:rPr>
        <w:t xml:space="preserve"> </w:t>
      </w:r>
    </w:p>
    <w:p w14:paraId="46BD55B7">
      <w:pPr>
        <w:keepNext w:val="0"/>
        <w:keepLines w:val="0"/>
        <w:widowControl w:val="0"/>
        <w:suppressLineNumbers w:val="0"/>
        <w:spacing w:before="0" w:beforeAutospacing="0" w:after="0" w:afterAutospacing="0"/>
        <w:ind w:left="0" w:right="0" w:firstLine="3360" w:firstLineChars="1200"/>
        <w:jc w:val="both"/>
        <w:outlineLvl w:val="9"/>
        <w:rPr>
          <w:rFonts w:hint="eastAsia" w:ascii="宋体" w:hAnsi="Times New Roman" w:eastAsia="宋体" w:cs="Times New Roman"/>
          <w:color w:val="auto"/>
          <w:kern w:val="2"/>
          <w:sz w:val="44"/>
          <w:szCs w:val="44"/>
          <w:highlight w:val="none"/>
        </w:rPr>
      </w:pPr>
      <w:r>
        <w:rPr>
          <w:rFonts w:hint="eastAsia" w:ascii="宋体" w:hAnsi="宋体" w:eastAsia="宋体" w:cs="宋体"/>
          <w:color w:val="auto"/>
          <w:kern w:val="2"/>
          <w:sz w:val="28"/>
          <w:szCs w:val="28"/>
          <w:highlight w:val="none"/>
          <w:lang w:val="en-US" w:eastAsia="zh-CN" w:bidi="ar"/>
        </w:rPr>
        <w:t>项目名称：</w:t>
      </w:r>
      <w:r>
        <w:rPr>
          <w:rFonts w:hint="eastAsia" w:ascii="宋体" w:hAnsi="Times New Roman" w:eastAsia="宋体" w:cs="Times New Roman"/>
          <w:color w:val="auto"/>
          <w:kern w:val="2"/>
          <w:sz w:val="28"/>
          <w:szCs w:val="28"/>
          <w:highlight w:val="none"/>
          <w:u w:val="single"/>
          <w:lang w:val="en-US" w:eastAsia="zh-CN" w:bidi="ar"/>
        </w:rPr>
        <w:t xml:space="preserve">    </w:t>
      </w:r>
    </w:p>
    <w:p w14:paraId="6F3A029E">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17321EE4">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328F5DA">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r>
        <w:rPr>
          <w:rFonts w:hint="eastAsia" w:ascii="宋体" w:hAnsi="Times New Roman" w:eastAsia="宋体" w:cs="Times New Roman"/>
          <w:color w:val="auto"/>
          <w:kern w:val="2"/>
          <w:sz w:val="28"/>
          <w:szCs w:val="28"/>
          <w:highlight w:val="none"/>
          <w:lang w:val="en-US" w:eastAsia="zh-CN" w:bidi="ar"/>
        </w:rPr>
        <w:t xml:space="preserve"> </w:t>
      </w:r>
    </w:p>
    <w:p w14:paraId="51CB94FA">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p>
    <w:p w14:paraId="6B88557D">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p>
    <w:p w14:paraId="59BC234B">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p>
    <w:p w14:paraId="2883CB1C">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p>
    <w:p w14:paraId="091D52D1">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69D01A98">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124CA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44991E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074CF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45EE84E4">
      <w:pPr>
        <w:spacing w:line="360" w:lineRule="auto"/>
        <w:jc w:val="center"/>
        <w:outlineLvl w:val="9"/>
        <w:rPr>
          <w:rFonts w:hint="eastAsia" w:asciiTheme="minorEastAsia" w:hAnsiTheme="minorEastAsia" w:eastAsiaTheme="minorEastAsia"/>
          <w:b/>
          <w:color w:val="auto"/>
          <w:sz w:val="24"/>
          <w:highlight w:val="none"/>
        </w:rPr>
      </w:pPr>
    </w:p>
    <w:p w14:paraId="4572299B">
      <w:pPr>
        <w:spacing w:line="360" w:lineRule="auto"/>
        <w:jc w:val="center"/>
        <w:outlineLvl w:val="9"/>
        <w:rPr>
          <w:rFonts w:hint="eastAsia" w:asciiTheme="minorEastAsia" w:hAnsiTheme="minorEastAsia" w:eastAsiaTheme="minorEastAsia"/>
          <w:b/>
          <w:color w:val="auto"/>
          <w:sz w:val="24"/>
          <w:highlight w:val="none"/>
        </w:rPr>
      </w:pPr>
    </w:p>
    <w:p w14:paraId="3F8D54C4">
      <w:pPr>
        <w:spacing w:line="360" w:lineRule="auto"/>
        <w:jc w:val="center"/>
        <w:outlineLvl w:val="9"/>
        <w:rPr>
          <w:rFonts w:hint="eastAsia" w:asciiTheme="minorEastAsia" w:hAnsiTheme="minorEastAsia" w:eastAsiaTheme="minorEastAsia"/>
          <w:b/>
          <w:color w:val="auto"/>
          <w:sz w:val="24"/>
          <w:highlight w:val="none"/>
        </w:rPr>
      </w:pPr>
    </w:p>
    <w:p w14:paraId="100D1C27">
      <w:pPr>
        <w:spacing w:line="400" w:lineRule="exact"/>
        <w:jc w:val="center"/>
        <w:outlineLvl w:val="9"/>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39EA3CB6">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10D5B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（1）开标一览表（格式见附件）；</w:t>
      </w:r>
    </w:p>
    <w:p w14:paraId="72956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（2）投标函（格式见附件）；</w:t>
      </w:r>
    </w:p>
    <w:p w14:paraId="0153E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（3）招标文件商务评审中要求提供的其他相关资料；</w:t>
      </w:r>
    </w:p>
    <w:p w14:paraId="45BCB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（4）投标人认为需要提供的其他材料；</w:t>
      </w:r>
    </w:p>
    <w:p w14:paraId="325CB2F0">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61D606EA">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456096F">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35C4B125">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5AEB3887">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9D70E4D">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0C9E3BD8">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475E4F7C">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C24951E">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70536926">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78D5DAD2">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1E513D13">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21676F0">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5224405B">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342753C5">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128932B5">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450F9526">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4C7BB44D">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0E0C49D2">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3907EA7B">
      <w:pPr>
        <w:pStyle w:val="2"/>
        <w:rPr>
          <w:rFonts w:hint="eastAsia"/>
          <w:highlight w:val="none"/>
          <w:lang w:val="en-US" w:eastAsia="zh-CN"/>
        </w:rPr>
      </w:pPr>
    </w:p>
    <w:p w14:paraId="5801A9D0">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7CD1F402">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0F7129D1">
      <w:pPr>
        <w:spacing w:line="360" w:lineRule="auto"/>
        <w:jc w:val="center"/>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一、开标一览表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38E0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089C675A">
            <w:pPr>
              <w:keepNext w:val="0"/>
              <w:keepLines w:val="0"/>
              <w:widowControl/>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项目名称</w:t>
            </w:r>
          </w:p>
        </w:tc>
        <w:tc>
          <w:tcPr>
            <w:tcW w:w="3648" w:type="pct"/>
            <w:tcBorders>
              <w:top w:val="single" w:color="auto" w:sz="4" w:space="0"/>
              <w:bottom w:val="single" w:color="auto" w:sz="4" w:space="0"/>
              <w:right w:val="single" w:color="auto" w:sz="4" w:space="0"/>
            </w:tcBorders>
            <w:vAlign w:val="center"/>
          </w:tcPr>
          <w:p w14:paraId="541FEB60">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Cs/>
                <w:color w:val="auto"/>
                <w:sz w:val="24"/>
                <w:szCs w:val="20"/>
                <w:highlight w:val="none"/>
                <w:u w:val="single"/>
              </w:rPr>
            </w:pPr>
          </w:p>
        </w:tc>
      </w:tr>
      <w:tr w14:paraId="3CF0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582DA0A">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投标人全称</w:t>
            </w:r>
          </w:p>
        </w:tc>
        <w:tc>
          <w:tcPr>
            <w:tcW w:w="3648" w:type="pct"/>
            <w:tcBorders>
              <w:top w:val="nil"/>
            </w:tcBorders>
            <w:vAlign w:val="center"/>
          </w:tcPr>
          <w:p w14:paraId="5EE1284C">
            <w:pPr>
              <w:keepNext w:val="0"/>
              <w:keepLines w:val="0"/>
              <w:suppressLineNumbers w:val="0"/>
              <w:spacing w:before="0" w:beforeAutospacing="0" w:after="0" w:afterAutospacing="0" w:line="360" w:lineRule="auto"/>
              <w:ind w:left="0" w:right="0"/>
              <w:outlineLvl w:val="9"/>
              <w:rPr>
                <w:rFonts w:hint="default" w:asciiTheme="minorEastAsia" w:hAnsiTheme="minorEastAsia" w:eastAsiaTheme="minorEastAsia"/>
                <w:color w:val="auto"/>
                <w:sz w:val="24"/>
                <w:szCs w:val="20"/>
                <w:highlight w:val="none"/>
              </w:rPr>
            </w:pPr>
          </w:p>
        </w:tc>
      </w:tr>
      <w:tr w14:paraId="5B1F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460CFD4">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投标范围</w:t>
            </w:r>
          </w:p>
        </w:tc>
        <w:tc>
          <w:tcPr>
            <w:tcW w:w="3648" w:type="pct"/>
            <w:tcBorders>
              <w:top w:val="nil"/>
            </w:tcBorders>
            <w:vAlign w:val="center"/>
          </w:tcPr>
          <w:p w14:paraId="216A349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outlineLvl w:val="9"/>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8"/>
                <w:highlight w:val="none"/>
              </w:rPr>
              <w:t>全部</w:t>
            </w:r>
          </w:p>
        </w:tc>
      </w:tr>
      <w:tr w14:paraId="2373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81800CA">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投标报价</w:t>
            </w:r>
          </w:p>
        </w:tc>
        <w:tc>
          <w:tcPr>
            <w:tcW w:w="3648" w:type="pct"/>
            <w:tcBorders>
              <w:top w:val="nil"/>
            </w:tcBorders>
            <w:vAlign w:val="center"/>
          </w:tcPr>
          <w:p w14:paraId="1F37634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0C9325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670"/>
              <w:outlineLvl w:val="9"/>
              <w:rPr>
                <w:rFonts w:hint="eastAsia" w:eastAsia="宋体" w:asciiTheme="minorEastAsia" w:hAnsiTheme="minorEastAsia"/>
                <w:color w:val="auto"/>
                <w:sz w:val="24"/>
                <w:szCs w:val="20"/>
                <w:highlight w:val="none"/>
                <w:lang w:val="en-US"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元</w:t>
            </w:r>
          </w:p>
        </w:tc>
      </w:tr>
      <w:tr w14:paraId="5E3E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6B54408B">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其他</w:t>
            </w:r>
          </w:p>
        </w:tc>
        <w:tc>
          <w:tcPr>
            <w:tcW w:w="3648" w:type="pct"/>
            <w:tcBorders>
              <w:top w:val="nil"/>
            </w:tcBorders>
            <w:vAlign w:val="center"/>
          </w:tcPr>
          <w:p w14:paraId="4A8A71D1">
            <w:pPr>
              <w:keepNext w:val="0"/>
              <w:keepLines w:val="0"/>
              <w:suppressLineNumbers w:val="0"/>
              <w:spacing w:before="0" w:beforeAutospacing="0" w:after="0" w:afterAutospacing="0" w:line="360" w:lineRule="auto"/>
              <w:ind w:left="0" w:right="0"/>
              <w:jc w:val="left"/>
              <w:outlineLvl w:val="9"/>
              <w:rPr>
                <w:rFonts w:hint="default" w:asciiTheme="minorEastAsia" w:hAnsiTheme="minorEastAsia" w:eastAsiaTheme="minorEastAsia"/>
                <w:color w:val="auto"/>
                <w:sz w:val="24"/>
                <w:szCs w:val="28"/>
                <w:highlight w:val="none"/>
              </w:rPr>
            </w:pPr>
          </w:p>
        </w:tc>
      </w:tr>
    </w:tbl>
    <w:p w14:paraId="3C847DE3">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1CEE368">
      <w:pPr>
        <w:tabs>
          <w:tab w:val="left" w:pos="630"/>
        </w:tabs>
        <w:spacing w:line="360" w:lineRule="auto"/>
        <w:ind w:firstLine="4800" w:firstLineChars="2000"/>
        <w:outlineLvl w:val="9"/>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521D08F6">
      <w:pPr>
        <w:spacing w:line="360" w:lineRule="auto"/>
        <w:outlineLvl w:val="9"/>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297003DA">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71EDC0B6">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表中投标报价作为评审及定标依据。任何有选择或有条件的投标报价，或者表中某一包别填写多个报价，均为无效报价。</w:t>
      </w:r>
    </w:p>
    <w:p w14:paraId="7E65C67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73B11374">
      <w:pPr>
        <w:spacing w:line="360" w:lineRule="auto"/>
        <w:jc w:val="center"/>
        <w:outlineLvl w:val="9"/>
        <w:rPr>
          <w:rFonts w:asciiTheme="minorEastAsia" w:hAnsiTheme="minorEastAsia" w:eastAsiaTheme="minorEastAsia"/>
          <w:b/>
          <w:color w:val="auto"/>
          <w:sz w:val="24"/>
          <w:highlight w:val="none"/>
        </w:rPr>
      </w:pPr>
      <w:bookmarkStart w:id="17" w:name="_Toc6441"/>
      <w:bookmarkStart w:id="18" w:name="_Toc6120"/>
      <w:r>
        <w:rPr>
          <w:rFonts w:hint="eastAsia" w:asciiTheme="minorEastAsia" w:hAnsiTheme="minorEastAsia" w:eastAsiaTheme="minorEastAsia"/>
          <w:b/>
          <w:color w:val="auto"/>
          <w:sz w:val="24"/>
          <w:highlight w:val="none"/>
        </w:rPr>
        <w:t>二、投标函</w:t>
      </w:r>
      <w:bookmarkEnd w:id="17"/>
      <w:bookmarkEnd w:id="18"/>
    </w:p>
    <w:p w14:paraId="0958B83B">
      <w:pPr>
        <w:pStyle w:val="12"/>
        <w:spacing w:line="360" w:lineRule="auto"/>
        <w:outlineLvl w:val="9"/>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302D35B7">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63723C7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16913059">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46C63F9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33DFB68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79B5566">
      <w:pPr>
        <w:spacing w:line="360" w:lineRule="auto"/>
        <w:ind w:firstLine="4800" w:firstLineChars="2000"/>
        <w:outlineLvl w:val="9"/>
        <w:rPr>
          <w:rFonts w:ascii="宋体" w:hAnsi="宋体" w:eastAsia="宋体"/>
          <w:color w:val="auto"/>
          <w:sz w:val="24"/>
          <w:highlight w:val="none"/>
        </w:rPr>
      </w:pPr>
    </w:p>
    <w:p w14:paraId="4E360B49">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B331F81">
      <w:pPr>
        <w:tabs>
          <w:tab w:val="left" w:pos="630"/>
        </w:tabs>
        <w:spacing w:line="360" w:lineRule="auto"/>
        <w:ind w:firstLine="4800" w:firstLineChars="2000"/>
        <w:outlineLvl w:val="9"/>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332CF7E2">
      <w:pPr>
        <w:widowControl/>
        <w:jc w:val="left"/>
        <w:outlineLvl w:val="9"/>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3E84228E">
      <w:pPr>
        <w:spacing w:line="360" w:lineRule="auto"/>
        <w:jc w:val="center"/>
        <w:outlineLvl w:val="0"/>
        <w:rPr>
          <w:rFonts w:ascii="宋体" w:hAnsi="宋体" w:eastAsia="宋体"/>
          <w:b/>
          <w:bCs/>
          <w:color w:val="auto"/>
          <w:sz w:val="28"/>
          <w:highlight w:val="none"/>
        </w:rPr>
      </w:pPr>
      <w:bookmarkStart w:id="19" w:name="_Toc28085"/>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19"/>
    </w:p>
    <w:p w14:paraId="7F8169ED">
      <w:pPr>
        <w:spacing w:line="360" w:lineRule="auto"/>
        <w:jc w:val="center"/>
        <w:outlineLvl w:val="9"/>
        <w:rPr>
          <w:rFonts w:ascii="仿宋" w:hAnsi="仿宋" w:eastAsia="仿宋" w:cs="仿宋"/>
          <w:b/>
          <w:bCs/>
          <w:color w:val="auto"/>
          <w:sz w:val="32"/>
          <w:szCs w:val="44"/>
          <w:highlight w:val="none"/>
        </w:rPr>
      </w:pPr>
      <w:bookmarkStart w:id="20" w:name="_Toc27159"/>
      <w:bookmarkStart w:id="21" w:name="_Toc27489"/>
      <w:r>
        <w:rPr>
          <w:rFonts w:hint="eastAsia" w:ascii="仿宋" w:hAnsi="仿宋" w:eastAsia="仿宋" w:cs="仿宋"/>
          <w:b/>
          <w:bCs/>
          <w:color w:val="auto"/>
          <w:sz w:val="32"/>
          <w:szCs w:val="44"/>
          <w:highlight w:val="none"/>
        </w:rPr>
        <w:t>询问函范本</w:t>
      </w:r>
      <w:bookmarkEnd w:id="20"/>
      <w:bookmarkEnd w:id="21"/>
    </w:p>
    <w:p w14:paraId="58655B41">
      <w:pPr>
        <w:adjustRightInd w:val="0"/>
        <w:snapToGrid w:val="0"/>
        <w:spacing w:line="360" w:lineRule="auto"/>
        <w:outlineLvl w:val="9"/>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5B941AA9">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171FAF52">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22" w:name="_Toc13899"/>
      <w:r>
        <w:rPr>
          <w:rFonts w:hint="eastAsia" w:cs="仿宋" w:asciiTheme="minorEastAsia" w:hAnsiTheme="minorEastAsia" w:eastAsiaTheme="minorEastAsia"/>
          <w:color w:val="auto"/>
          <w:sz w:val="24"/>
          <w:szCs w:val="24"/>
          <w:highlight w:val="none"/>
        </w:rPr>
        <w:t>一、(事项一)</w:t>
      </w:r>
      <w:bookmarkEnd w:id="22"/>
    </w:p>
    <w:p w14:paraId="5B452DCD">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E4D1044">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0476AE74">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DC05DBE">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23" w:name="_Toc3352"/>
      <w:r>
        <w:rPr>
          <w:rFonts w:hint="eastAsia" w:cs="仿宋" w:asciiTheme="minorEastAsia" w:hAnsiTheme="minorEastAsia" w:eastAsiaTheme="minorEastAsia"/>
          <w:color w:val="auto"/>
          <w:sz w:val="24"/>
          <w:szCs w:val="24"/>
          <w:highlight w:val="none"/>
        </w:rPr>
        <w:t>二、(事项二)</w:t>
      </w:r>
      <w:bookmarkEnd w:id="23"/>
    </w:p>
    <w:p w14:paraId="30F0191A">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147D068">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110F0D34">
      <w:pPr>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75A769B">
      <w:pPr>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0948820F">
      <w:pPr>
        <w:tabs>
          <w:tab w:val="left" w:pos="630"/>
        </w:tabs>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213478D">
      <w:pPr>
        <w:outlineLvl w:val="9"/>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3D1F8CE9">
      <w:pPr>
        <w:jc w:val="center"/>
        <w:outlineLvl w:val="9"/>
        <w:rPr>
          <w:rFonts w:ascii="仿宋" w:hAnsi="仿宋" w:eastAsia="仿宋" w:cs="仿宋"/>
          <w:b/>
          <w:bCs/>
          <w:color w:val="auto"/>
          <w:sz w:val="32"/>
          <w:szCs w:val="44"/>
          <w:highlight w:val="none"/>
        </w:rPr>
      </w:pPr>
      <w:bookmarkStart w:id="24" w:name="_Toc3245"/>
      <w:bookmarkStart w:id="25" w:name="_Toc1575"/>
      <w:r>
        <w:rPr>
          <w:rFonts w:hint="eastAsia" w:ascii="仿宋" w:hAnsi="仿宋" w:eastAsia="仿宋" w:cs="仿宋"/>
          <w:b/>
          <w:bCs/>
          <w:color w:val="auto"/>
          <w:sz w:val="32"/>
          <w:szCs w:val="44"/>
          <w:highlight w:val="none"/>
        </w:rPr>
        <w:t>质疑函范本</w:t>
      </w:r>
      <w:bookmarkEnd w:id="24"/>
      <w:bookmarkEnd w:id="25"/>
    </w:p>
    <w:p w14:paraId="1EE353E0">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26" w:name="_Toc21381"/>
      <w:r>
        <w:rPr>
          <w:rFonts w:hint="eastAsia" w:cs="仿宋" w:asciiTheme="minorEastAsia" w:hAnsiTheme="minorEastAsia" w:eastAsiaTheme="minorEastAsia"/>
          <w:b/>
          <w:bCs/>
          <w:color w:val="auto"/>
          <w:sz w:val="24"/>
          <w:szCs w:val="24"/>
          <w:highlight w:val="none"/>
        </w:rPr>
        <w:t>一、质疑供应商基本信息</w:t>
      </w:r>
      <w:bookmarkEnd w:id="26"/>
    </w:p>
    <w:p w14:paraId="4B865F04">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0F6EC301">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82536FB">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695F085">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5FCA1CAD">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B49B30F">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E78AE2A">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7" w:name="_Toc28415"/>
      <w:r>
        <w:rPr>
          <w:rFonts w:hint="eastAsia" w:cs="仿宋" w:asciiTheme="minorEastAsia" w:hAnsiTheme="minorEastAsia" w:eastAsiaTheme="minorEastAsia"/>
          <w:b/>
          <w:bCs/>
          <w:color w:val="auto"/>
          <w:sz w:val="24"/>
          <w:szCs w:val="24"/>
          <w:highlight w:val="none"/>
        </w:rPr>
        <w:t>二、质疑项目基本情况</w:t>
      </w:r>
      <w:bookmarkEnd w:id="27"/>
    </w:p>
    <w:p w14:paraId="337F6320">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58BC0597">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5789B012">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23908EF2">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46507BC">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8" w:name="_Toc19014"/>
      <w:r>
        <w:rPr>
          <w:rFonts w:hint="eastAsia" w:cs="仿宋" w:asciiTheme="minorEastAsia" w:hAnsiTheme="minorEastAsia" w:eastAsiaTheme="minorEastAsia"/>
          <w:b/>
          <w:bCs/>
          <w:color w:val="auto"/>
          <w:sz w:val="24"/>
          <w:szCs w:val="24"/>
          <w:highlight w:val="none"/>
        </w:rPr>
        <w:t>三、质疑事项具体内容</w:t>
      </w:r>
      <w:bookmarkEnd w:id="28"/>
    </w:p>
    <w:p w14:paraId="43366FFD">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643A17D">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1607DAFA">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46657BB4">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2227F27B">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57DC84FB">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F8A62B7">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E3CE31D">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9" w:name="_Toc17919"/>
      <w:r>
        <w:rPr>
          <w:rFonts w:hint="eastAsia" w:cs="仿宋" w:asciiTheme="minorEastAsia" w:hAnsiTheme="minorEastAsia" w:eastAsiaTheme="minorEastAsia"/>
          <w:b/>
          <w:bCs/>
          <w:color w:val="auto"/>
          <w:sz w:val="24"/>
          <w:szCs w:val="24"/>
          <w:highlight w:val="none"/>
        </w:rPr>
        <w:t>四、与质疑事项相关的质疑请求</w:t>
      </w:r>
      <w:bookmarkEnd w:id="29"/>
    </w:p>
    <w:p w14:paraId="688BBC49">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0C0E001D">
      <w:pPr>
        <w:spacing w:line="360" w:lineRule="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84F980E">
      <w:pPr>
        <w:spacing w:line="360" w:lineRule="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3435D36">
      <w:pPr>
        <w:widowControl/>
        <w:jc w:val="left"/>
        <w:outlineLvl w:val="9"/>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4DD6C8F">
      <w:pPr>
        <w:outlineLvl w:val="9"/>
        <w:rPr>
          <w:rFonts w:asciiTheme="minorEastAsia" w:hAnsiTheme="minorEastAsia" w:eastAsiaTheme="minorEastAsia"/>
          <w:b/>
          <w:color w:val="auto"/>
          <w:sz w:val="28"/>
          <w:szCs w:val="32"/>
          <w:highlight w:val="none"/>
        </w:rPr>
      </w:pPr>
      <w:bookmarkStart w:id="30" w:name="_Toc9754"/>
      <w:bookmarkStart w:id="31" w:name="_Toc26836"/>
      <w:r>
        <w:rPr>
          <w:rFonts w:hint="eastAsia" w:asciiTheme="minorEastAsia" w:hAnsiTheme="minorEastAsia" w:eastAsiaTheme="minorEastAsia"/>
          <w:b/>
          <w:color w:val="auto"/>
          <w:sz w:val="28"/>
          <w:szCs w:val="32"/>
          <w:highlight w:val="none"/>
        </w:rPr>
        <w:t>质疑函制作说明：</w:t>
      </w:r>
      <w:bookmarkEnd w:id="30"/>
      <w:bookmarkEnd w:id="31"/>
    </w:p>
    <w:p w14:paraId="2E51C3D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0661CBE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AB14312">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8C9DF7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9945778">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45AEE2F">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A263C27">
      <w:pPr>
        <w:pStyle w:val="30"/>
        <w:outlineLvl w:val="9"/>
        <w:rPr>
          <w:rFonts w:hint="eastAsia" w:asciiTheme="minorEastAsia" w:hAnsiTheme="minorEastAsia" w:eastAsiaTheme="minorEastAsia"/>
          <w:color w:val="auto"/>
          <w:sz w:val="24"/>
          <w:highlight w:val="none"/>
        </w:rPr>
      </w:pPr>
    </w:p>
    <w:p w14:paraId="557D4A9C">
      <w:pPr>
        <w:pStyle w:val="30"/>
        <w:outlineLvl w:val="9"/>
        <w:rPr>
          <w:rFonts w:hint="eastAsia" w:asciiTheme="minorEastAsia" w:hAnsiTheme="minorEastAsia" w:eastAsiaTheme="minorEastAsia"/>
          <w:color w:val="auto"/>
          <w:sz w:val="24"/>
          <w:highlight w:val="none"/>
        </w:rPr>
      </w:pPr>
    </w:p>
    <w:p w14:paraId="2DFA62A9">
      <w:pPr>
        <w:pStyle w:val="30"/>
        <w:outlineLvl w:val="9"/>
        <w:rPr>
          <w:rFonts w:hint="eastAsia" w:asciiTheme="minorEastAsia" w:hAnsiTheme="minorEastAsia" w:eastAsiaTheme="minorEastAsia"/>
          <w:color w:val="auto"/>
          <w:sz w:val="24"/>
          <w:highlight w:val="none"/>
        </w:rPr>
      </w:pPr>
    </w:p>
    <w:p w14:paraId="6270981A">
      <w:pPr>
        <w:pStyle w:val="30"/>
        <w:outlineLvl w:val="9"/>
        <w:rPr>
          <w:rFonts w:hint="eastAsia" w:asciiTheme="minorEastAsia" w:hAnsiTheme="minorEastAsia" w:eastAsiaTheme="minorEastAsia"/>
          <w:color w:val="auto"/>
          <w:sz w:val="24"/>
          <w:highlight w:val="none"/>
        </w:rPr>
      </w:pPr>
    </w:p>
    <w:p w14:paraId="6DF0730F">
      <w:pPr>
        <w:pStyle w:val="30"/>
        <w:outlineLvl w:val="9"/>
        <w:rPr>
          <w:rFonts w:hint="eastAsia" w:asciiTheme="minorEastAsia" w:hAnsiTheme="minorEastAsia" w:eastAsiaTheme="minorEastAsia"/>
          <w:color w:val="auto"/>
          <w:sz w:val="24"/>
          <w:highlight w:val="none"/>
        </w:rPr>
      </w:pPr>
    </w:p>
    <w:p w14:paraId="40CF7844">
      <w:pPr>
        <w:pStyle w:val="30"/>
        <w:outlineLvl w:val="9"/>
        <w:rPr>
          <w:rFonts w:hint="eastAsia" w:asciiTheme="minorEastAsia" w:hAnsiTheme="minorEastAsia" w:eastAsiaTheme="minorEastAsia"/>
          <w:color w:val="auto"/>
          <w:sz w:val="24"/>
          <w:highlight w:val="none"/>
        </w:rPr>
      </w:pPr>
    </w:p>
    <w:p w14:paraId="42EBE1CC">
      <w:pPr>
        <w:pStyle w:val="30"/>
        <w:outlineLvl w:val="9"/>
        <w:rPr>
          <w:rFonts w:hint="eastAsia" w:asciiTheme="minorEastAsia" w:hAnsiTheme="minorEastAsia" w:eastAsiaTheme="minorEastAsia"/>
          <w:color w:val="auto"/>
          <w:sz w:val="24"/>
          <w:highlight w:val="none"/>
        </w:rPr>
      </w:pPr>
    </w:p>
    <w:p w14:paraId="71994D0C">
      <w:pPr>
        <w:pStyle w:val="30"/>
        <w:outlineLvl w:val="9"/>
        <w:rPr>
          <w:rFonts w:hint="eastAsia" w:asciiTheme="minorEastAsia" w:hAnsiTheme="minorEastAsia" w:eastAsiaTheme="minorEastAsia"/>
          <w:color w:val="auto"/>
          <w:sz w:val="24"/>
          <w:highlight w:val="none"/>
        </w:rPr>
      </w:pPr>
    </w:p>
    <w:p w14:paraId="13B39510">
      <w:pPr>
        <w:pStyle w:val="30"/>
        <w:outlineLvl w:val="9"/>
        <w:rPr>
          <w:rFonts w:hint="eastAsia" w:asciiTheme="minorEastAsia" w:hAnsiTheme="minorEastAsia" w:eastAsiaTheme="minorEastAsia"/>
          <w:color w:val="auto"/>
          <w:sz w:val="24"/>
          <w:highlight w:val="none"/>
        </w:rPr>
      </w:pPr>
    </w:p>
    <w:p w14:paraId="1ED8CAE8">
      <w:pPr>
        <w:pStyle w:val="30"/>
        <w:outlineLvl w:val="9"/>
        <w:rPr>
          <w:rFonts w:hint="eastAsia" w:asciiTheme="minorEastAsia" w:hAnsiTheme="minorEastAsia" w:eastAsiaTheme="minorEastAsia"/>
          <w:color w:val="auto"/>
          <w:sz w:val="24"/>
          <w:highlight w:val="none"/>
        </w:rPr>
      </w:pPr>
    </w:p>
    <w:p w14:paraId="711535E8">
      <w:pPr>
        <w:pStyle w:val="30"/>
        <w:outlineLvl w:val="9"/>
        <w:rPr>
          <w:rFonts w:hint="eastAsia" w:asciiTheme="minorEastAsia" w:hAnsiTheme="minorEastAsia" w:eastAsiaTheme="minorEastAsia"/>
          <w:color w:val="auto"/>
          <w:sz w:val="24"/>
          <w:highlight w:val="none"/>
        </w:rPr>
      </w:pPr>
    </w:p>
    <w:p w14:paraId="5C86D56C">
      <w:pPr>
        <w:pStyle w:val="30"/>
        <w:outlineLvl w:val="9"/>
        <w:rPr>
          <w:rFonts w:hint="eastAsia" w:asciiTheme="minorEastAsia" w:hAnsiTheme="minorEastAsia" w:eastAsiaTheme="minorEastAsia"/>
          <w:color w:val="auto"/>
          <w:sz w:val="24"/>
          <w:highlight w:val="none"/>
        </w:rPr>
      </w:pPr>
    </w:p>
    <w:p w14:paraId="0D22C792">
      <w:pPr>
        <w:pStyle w:val="30"/>
        <w:outlineLvl w:val="9"/>
        <w:rPr>
          <w:rFonts w:hint="eastAsia" w:asciiTheme="minorEastAsia" w:hAnsiTheme="minorEastAsia" w:eastAsiaTheme="minorEastAsia"/>
          <w:color w:val="auto"/>
          <w:sz w:val="24"/>
          <w:highlight w:val="none"/>
        </w:rPr>
      </w:pPr>
    </w:p>
    <w:p w14:paraId="62D383E5">
      <w:pPr>
        <w:pStyle w:val="30"/>
        <w:outlineLvl w:val="9"/>
        <w:rPr>
          <w:rFonts w:hint="eastAsia" w:asciiTheme="minorEastAsia" w:hAnsiTheme="minorEastAsia" w:eastAsiaTheme="minorEastAsia"/>
          <w:color w:val="auto"/>
          <w:sz w:val="24"/>
          <w:highlight w:val="none"/>
        </w:rPr>
      </w:pPr>
    </w:p>
    <w:p w14:paraId="518FB6D9">
      <w:pPr>
        <w:pStyle w:val="30"/>
        <w:outlineLvl w:val="9"/>
        <w:rPr>
          <w:rFonts w:hint="eastAsia" w:asciiTheme="minorEastAsia" w:hAnsiTheme="minorEastAsia" w:eastAsiaTheme="minorEastAsia"/>
          <w:color w:val="auto"/>
          <w:sz w:val="24"/>
          <w:highlight w:val="none"/>
        </w:rPr>
      </w:pPr>
    </w:p>
    <w:p w14:paraId="7717A97C">
      <w:pPr>
        <w:pStyle w:val="30"/>
        <w:outlineLvl w:val="9"/>
        <w:rPr>
          <w:rFonts w:hint="eastAsia" w:asciiTheme="minorEastAsia" w:hAnsiTheme="minorEastAsia" w:eastAsiaTheme="minorEastAsia"/>
          <w:color w:val="auto"/>
          <w:sz w:val="24"/>
          <w:highlight w:val="none"/>
        </w:rPr>
      </w:pPr>
    </w:p>
    <w:p w14:paraId="69A40851">
      <w:pPr>
        <w:pStyle w:val="30"/>
        <w:outlineLvl w:val="9"/>
        <w:rPr>
          <w:rFonts w:hint="eastAsia" w:asciiTheme="minorEastAsia" w:hAnsiTheme="minorEastAsia" w:eastAsiaTheme="minorEastAsia"/>
          <w:color w:val="auto"/>
          <w:sz w:val="24"/>
          <w:highlight w:val="none"/>
        </w:rPr>
      </w:pPr>
    </w:p>
    <w:p w14:paraId="2EB66615">
      <w:pPr>
        <w:pStyle w:val="30"/>
        <w:outlineLvl w:val="9"/>
        <w:rPr>
          <w:rFonts w:hint="eastAsia" w:asciiTheme="minorEastAsia" w:hAnsiTheme="minorEastAsia" w:eastAsiaTheme="minorEastAsia"/>
          <w:color w:val="auto"/>
          <w:sz w:val="24"/>
          <w:highlight w:val="none"/>
        </w:rPr>
      </w:pPr>
    </w:p>
    <w:p w14:paraId="6357C3C1">
      <w:pPr>
        <w:pStyle w:val="30"/>
        <w:outlineLvl w:val="9"/>
        <w:rPr>
          <w:rFonts w:hint="eastAsia" w:asciiTheme="minorEastAsia" w:hAnsiTheme="minorEastAsia" w:eastAsiaTheme="minorEastAsia"/>
          <w:color w:val="auto"/>
          <w:sz w:val="24"/>
          <w:highlight w:val="none"/>
        </w:rPr>
      </w:pPr>
    </w:p>
    <w:p w14:paraId="5E4D6B89">
      <w:pPr>
        <w:pStyle w:val="30"/>
        <w:outlineLvl w:val="9"/>
        <w:rPr>
          <w:rFonts w:hint="eastAsia" w:asciiTheme="minorEastAsia" w:hAnsiTheme="minorEastAsia" w:eastAsiaTheme="minorEastAsia"/>
          <w:color w:val="auto"/>
          <w:sz w:val="24"/>
          <w:highlight w:val="none"/>
        </w:rPr>
      </w:pPr>
    </w:p>
    <w:p w14:paraId="2D0AD1CF">
      <w:pPr>
        <w:pStyle w:val="30"/>
        <w:outlineLvl w:val="9"/>
        <w:rPr>
          <w:rFonts w:hint="eastAsia" w:asciiTheme="minorEastAsia" w:hAnsiTheme="minorEastAsia" w:eastAsiaTheme="minorEastAsia"/>
          <w:color w:val="auto"/>
          <w:sz w:val="24"/>
          <w:highlight w:val="none"/>
        </w:rPr>
      </w:pPr>
    </w:p>
    <w:p w14:paraId="788AB848">
      <w:pPr>
        <w:pStyle w:val="30"/>
        <w:outlineLvl w:val="9"/>
        <w:rPr>
          <w:rFonts w:hint="eastAsia" w:asciiTheme="minorEastAsia" w:hAnsiTheme="minorEastAsia" w:eastAsiaTheme="minorEastAsia"/>
          <w:color w:val="auto"/>
          <w:sz w:val="24"/>
          <w:highlight w:val="none"/>
        </w:rPr>
      </w:pPr>
    </w:p>
    <w:p w14:paraId="354E6580">
      <w:pPr>
        <w:pStyle w:val="30"/>
        <w:outlineLvl w:val="9"/>
        <w:rPr>
          <w:rFonts w:hint="eastAsia" w:asciiTheme="minorEastAsia" w:hAnsiTheme="minorEastAsia" w:eastAsiaTheme="minorEastAsia"/>
          <w:color w:val="auto"/>
          <w:sz w:val="24"/>
          <w:highlight w:val="none"/>
        </w:rPr>
      </w:pPr>
    </w:p>
    <w:p w14:paraId="2454B005">
      <w:pPr>
        <w:pStyle w:val="30"/>
        <w:outlineLvl w:val="9"/>
        <w:rPr>
          <w:rFonts w:hint="eastAsia" w:asciiTheme="minorEastAsia" w:hAnsiTheme="minorEastAsia" w:eastAsiaTheme="minorEastAsia"/>
          <w:color w:val="auto"/>
          <w:sz w:val="24"/>
          <w:highlight w:val="none"/>
        </w:rPr>
      </w:pPr>
    </w:p>
    <w:p w14:paraId="208F147B">
      <w:pPr>
        <w:pStyle w:val="30"/>
        <w:outlineLvl w:val="9"/>
        <w:rPr>
          <w:rFonts w:hint="eastAsia" w:asciiTheme="minorEastAsia" w:hAnsiTheme="minorEastAsia" w:eastAsiaTheme="minorEastAsia"/>
          <w:color w:val="auto"/>
          <w:sz w:val="24"/>
          <w:highlight w:val="none"/>
        </w:rPr>
      </w:pPr>
    </w:p>
    <w:p w14:paraId="1DBF91CC">
      <w:pPr>
        <w:pStyle w:val="30"/>
        <w:outlineLvl w:val="9"/>
        <w:rPr>
          <w:rFonts w:hint="eastAsia" w:asciiTheme="minorEastAsia" w:hAnsiTheme="minorEastAsia" w:eastAsiaTheme="minorEastAsia"/>
          <w:color w:val="auto"/>
          <w:sz w:val="24"/>
          <w:highlight w:val="none"/>
        </w:rPr>
      </w:pPr>
    </w:p>
    <w:p w14:paraId="62DD69BC">
      <w:pPr>
        <w:pStyle w:val="30"/>
        <w:outlineLvl w:val="9"/>
        <w:rPr>
          <w:rFonts w:hint="eastAsia" w:asciiTheme="minorEastAsia" w:hAnsiTheme="minorEastAsia" w:eastAsiaTheme="minorEastAsia"/>
          <w:color w:val="auto"/>
          <w:sz w:val="24"/>
          <w:highlight w:val="none"/>
        </w:rPr>
      </w:pPr>
    </w:p>
    <w:p w14:paraId="1D4DE9E1">
      <w:pPr>
        <w:keepNext/>
        <w:keepLines/>
        <w:pageBreakBefore w:val="0"/>
        <w:widowControl w:val="0"/>
        <w:kinsoku/>
        <w:overflowPunct/>
        <w:topLinePunct w:val="0"/>
        <w:autoSpaceDE/>
        <w:autoSpaceDN/>
        <w:bidi w:val="0"/>
        <w:spacing w:before="200" w:after="200" w:line="400" w:lineRule="exact"/>
        <w:textAlignment w:val="auto"/>
        <w:outlineLvl w:val="0"/>
        <w:rPr>
          <w:rFonts w:hint="eastAsia" w:ascii="仿宋" w:hAnsi="仿宋" w:eastAsia="仿宋" w:cs="仿宋"/>
          <w:b/>
          <w:bCs/>
          <w:color w:val="auto"/>
          <w:kern w:val="44"/>
          <w:sz w:val="32"/>
          <w:szCs w:val="32"/>
          <w:highlight w:val="none"/>
        </w:rPr>
      </w:pPr>
      <w:bookmarkStart w:id="32" w:name="OLE_LINK7"/>
      <w:bookmarkStart w:id="33" w:name="OLE_LINK25"/>
      <w:bookmarkStart w:id="34" w:name="OLE_LINK24"/>
      <w:r>
        <w:rPr>
          <w:rFonts w:hint="eastAsia" w:ascii="仿宋" w:hAnsi="仿宋" w:eastAsia="仿宋" w:cs="仿宋"/>
          <w:b/>
          <w:bCs/>
          <w:color w:val="auto"/>
          <w:kern w:val="44"/>
          <w:sz w:val="32"/>
          <w:szCs w:val="32"/>
          <w:highlight w:val="none"/>
        </w:rPr>
        <w:t xml:space="preserve">附件1 </w:t>
      </w:r>
    </w:p>
    <w:p w14:paraId="5EE75B05">
      <w:pPr>
        <w:keepNext/>
        <w:keepLines/>
        <w:pageBreakBefore w:val="0"/>
        <w:widowControl w:val="0"/>
        <w:kinsoku/>
        <w:overflowPunct/>
        <w:topLinePunct w:val="0"/>
        <w:autoSpaceDE/>
        <w:autoSpaceDN/>
        <w:bidi w:val="0"/>
        <w:spacing w:before="200" w:after="200" w:line="400" w:lineRule="exact"/>
        <w:jc w:val="center"/>
        <w:textAlignment w:val="auto"/>
        <w:outlineLvl w:val="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32"/>
          <w:szCs w:val="32"/>
          <w:highlight w:val="none"/>
        </w:rPr>
        <w:t>关于联合惩戒失信行为加强信用查询管理的通知</w:t>
      </w:r>
    </w:p>
    <w:bookmarkEnd w:id="32"/>
    <w:p w14:paraId="24E6DC6A">
      <w:pPr>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一、失信行为联合惩戒的范围和查询渠道</w:t>
      </w:r>
    </w:p>
    <w:p w14:paraId="455FEEE9">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在我市公共资源交易活动中对存在下列失信行为的投标人、法定代表人及其项目经理（建造师）实施联合惩戒，禁止参与我市公共资源交易活动。</w:t>
      </w:r>
    </w:p>
    <w:p w14:paraId="6ADF52F9">
      <w:pPr>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（一）工程建设项目</w:t>
      </w:r>
    </w:p>
    <w:bookmarkEnd w:id="33"/>
    <w:bookmarkEnd w:id="34"/>
    <w:p w14:paraId="54E68DF5">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1、“信用中国”网站（www.creditchina.gov.cn）查询</w:t>
      </w:r>
      <w:bookmarkStart w:id="35" w:name="OLE_LINK93"/>
      <w:bookmarkStart w:id="36" w:name="OLE_LINK91"/>
      <w:bookmarkStart w:id="37" w:name="OLE_LINK103"/>
      <w:bookmarkStart w:id="38" w:name="OLE_LINK92"/>
      <w:r>
        <w:rPr>
          <w:rFonts w:hint="eastAsia" w:ascii="仿宋" w:hAnsi="仿宋" w:eastAsia="仿宋" w:cs="仿宋"/>
          <w:color w:val="auto"/>
          <w:sz w:val="24"/>
          <w:szCs w:val="24"/>
          <w:highlight w:val="none"/>
        </w:rPr>
        <w:t>投标人、法定代表人及其项目经理(建造师)</w:t>
      </w:r>
      <w:bookmarkEnd w:id="35"/>
      <w:bookmarkEnd w:id="36"/>
      <w:bookmarkEnd w:id="37"/>
      <w:bookmarkEnd w:id="38"/>
      <w:r>
        <w:rPr>
          <w:rFonts w:hint="eastAsia" w:ascii="仿宋" w:hAnsi="仿宋" w:eastAsia="仿宋" w:cs="仿宋"/>
          <w:color w:val="auto"/>
          <w:sz w:val="24"/>
          <w:szCs w:val="24"/>
          <w:highlight w:val="none"/>
        </w:rPr>
        <w:t>以下失信行为：</w:t>
      </w:r>
    </w:p>
    <w:p w14:paraId="21CC5483">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bookmarkStart w:id="39" w:name="OLE_LINK94"/>
      <w:bookmarkStart w:id="40" w:name="OLE_LINK87"/>
      <w:bookmarkStart w:id="41" w:name="OLE_LINK119"/>
      <w:bookmarkStart w:id="42" w:name="OLE_LINK86"/>
      <w:bookmarkStart w:id="43" w:name="OLE_LINK3"/>
      <w:r>
        <w:rPr>
          <w:rFonts w:hint="eastAsia" w:ascii="仿宋" w:hAnsi="仿宋" w:eastAsia="仿宋" w:cs="仿宋"/>
          <w:color w:val="auto"/>
          <w:sz w:val="24"/>
          <w:szCs w:val="24"/>
          <w:highlight w:val="none"/>
        </w:rPr>
        <w:t>①被列入“失信被执行人”的;</w:t>
      </w:r>
    </w:p>
    <w:p w14:paraId="3B33A91A">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②被列入</w:t>
      </w:r>
      <w:bookmarkStart w:id="44" w:name="OLE_LINK118"/>
      <w:bookmarkStart w:id="45" w:name="OLE_LINK116"/>
      <w:bookmarkStart w:id="46" w:name="OLE_LINK117"/>
      <w:bookmarkStart w:id="47" w:name="OLE_LINK115"/>
      <w:r>
        <w:rPr>
          <w:rFonts w:hint="eastAsia" w:ascii="仿宋" w:hAnsi="仿宋" w:eastAsia="仿宋" w:cs="仿宋"/>
          <w:color w:val="auto"/>
          <w:sz w:val="24"/>
          <w:szCs w:val="24"/>
          <w:highlight w:val="none"/>
        </w:rPr>
        <w:t>“重大税收违法失信主体”</w:t>
      </w:r>
      <w:bookmarkEnd w:id="44"/>
      <w:bookmarkEnd w:id="45"/>
      <w:bookmarkEnd w:id="46"/>
      <w:bookmarkEnd w:id="47"/>
      <w:r>
        <w:rPr>
          <w:rFonts w:hint="eastAsia" w:ascii="仿宋" w:hAnsi="仿宋" w:eastAsia="仿宋" w:cs="仿宋"/>
          <w:color w:val="auto"/>
          <w:sz w:val="24"/>
          <w:szCs w:val="24"/>
          <w:highlight w:val="none"/>
        </w:rPr>
        <w:t>的；</w:t>
      </w:r>
    </w:p>
    <w:p w14:paraId="4E7631B8">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③被列入“拖欠</w:t>
      </w:r>
      <w:bookmarkStart w:id="48" w:name="OLE_LINK85"/>
      <w:bookmarkStart w:id="49" w:name="OLE_LINK84"/>
      <w:r>
        <w:rPr>
          <w:rFonts w:hint="eastAsia" w:ascii="仿宋" w:hAnsi="仿宋" w:eastAsia="仿宋" w:cs="仿宋"/>
          <w:color w:val="auto"/>
          <w:sz w:val="24"/>
          <w:szCs w:val="24"/>
          <w:highlight w:val="none"/>
        </w:rPr>
        <w:t>农民工工资失信联合惩戒对象</w:t>
      </w:r>
      <w:bookmarkEnd w:id="48"/>
      <w:bookmarkEnd w:id="49"/>
      <w:r>
        <w:rPr>
          <w:rFonts w:hint="eastAsia" w:ascii="仿宋" w:hAnsi="仿宋" w:eastAsia="仿宋" w:cs="仿宋"/>
          <w:color w:val="auto"/>
          <w:sz w:val="24"/>
          <w:szCs w:val="24"/>
          <w:highlight w:val="none"/>
        </w:rPr>
        <w:t>名单”的；</w:t>
      </w:r>
    </w:p>
    <w:p w14:paraId="36043C40">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④被列入 “严重失信主体名单”的；</w:t>
      </w:r>
    </w:p>
    <w:p w14:paraId="53F5DAD6">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⑤在“信用中国”网站上披露的仍在公示期的严重失信行为(具体行为类别及判定依据见附件2)的。</w:t>
      </w:r>
    </w:p>
    <w:bookmarkEnd w:id="39"/>
    <w:bookmarkEnd w:id="40"/>
    <w:bookmarkEnd w:id="41"/>
    <w:bookmarkEnd w:id="42"/>
    <w:bookmarkEnd w:id="43"/>
    <w:p w14:paraId="17C27307">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bookmarkStart w:id="50" w:name="OLE_LINK130"/>
      <w:r>
        <w:rPr>
          <w:rFonts w:hint="eastAsia" w:ascii="仿宋" w:hAnsi="仿宋" w:eastAsia="仿宋" w:cs="仿宋"/>
          <w:color w:val="auto"/>
          <w:sz w:val="24"/>
          <w:szCs w:val="24"/>
          <w:highlight w:val="none"/>
        </w:rPr>
        <w:t>国家企业信用信息公示系统网站</w:t>
      </w:r>
      <w:bookmarkEnd w:id="50"/>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"http://www.gsxt.gov.cn）查询" </w:instrText>
      </w:r>
      <w:r>
        <w:rPr>
          <w:rFonts w:hint="eastAsia" w:ascii="仿宋" w:hAnsi="仿宋" w:eastAsia="仿宋" w:cs="仿宋"/>
          <w:color w:val="auto"/>
          <w:sz w:val="24"/>
          <w:szCs w:val="24"/>
          <w:highlight w:val="none"/>
        </w:rPr>
        <w:fldChar w:fldCharType="separate"/>
      </w:r>
      <w:bookmarkStart w:id="51" w:name="OLE_LINK89"/>
      <w:bookmarkStart w:id="52" w:name="OLE_LINK90"/>
      <w:r>
        <w:rPr>
          <w:rStyle w:val="28"/>
          <w:rFonts w:hint="eastAsia" w:ascii="仿宋" w:hAnsi="仿宋" w:eastAsia="仿宋" w:cs="仿宋"/>
          <w:color w:val="auto"/>
          <w:sz w:val="24"/>
          <w:szCs w:val="24"/>
          <w:highlight w:val="none"/>
        </w:rPr>
        <w:t>www.gsxt.gov.cn</w:t>
      </w:r>
      <w:bookmarkEnd w:id="51"/>
      <w:bookmarkEnd w:id="52"/>
      <w:r>
        <w:rPr>
          <w:rStyle w:val="28"/>
          <w:rFonts w:hint="eastAsia" w:ascii="仿宋" w:hAnsi="仿宋" w:eastAsia="仿宋" w:cs="仿宋"/>
          <w:color w:val="auto"/>
          <w:sz w:val="24"/>
          <w:szCs w:val="24"/>
          <w:highlight w:val="none"/>
        </w:rPr>
        <w:t>）</w:t>
      </w:r>
      <w:r>
        <w:rPr>
          <w:rStyle w:val="28"/>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查询投标人以下失信行为：</w:t>
      </w:r>
    </w:p>
    <w:p w14:paraId="56BF9C37">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bookmarkStart w:id="53" w:name="OLE_LINK120"/>
      <w:bookmarkStart w:id="54" w:name="OLE_LINK121"/>
      <w:bookmarkStart w:id="55" w:name="OLE_LINK122"/>
      <w:r>
        <w:rPr>
          <w:rFonts w:hint="eastAsia" w:ascii="仿宋" w:hAnsi="仿宋" w:eastAsia="仿宋" w:cs="仿宋"/>
          <w:color w:val="auto"/>
          <w:sz w:val="24"/>
          <w:szCs w:val="24"/>
          <w:highlight w:val="none"/>
        </w:rPr>
        <w:t>①</w:t>
      </w:r>
      <w:bookmarkStart w:id="56" w:name="OLE_LINK114"/>
      <w:bookmarkStart w:id="57" w:name="OLE_LINK113"/>
      <w:r>
        <w:rPr>
          <w:rFonts w:hint="eastAsia" w:ascii="仿宋" w:hAnsi="仿宋" w:eastAsia="仿宋" w:cs="仿宋"/>
          <w:color w:val="auto"/>
          <w:sz w:val="24"/>
          <w:szCs w:val="24"/>
          <w:highlight w:val="none"/>
        </w:rPr>
        <w:t>被列入“经营异常名录”或者“严重违法失信名单”的</w:t>
      </w:r>
      <w:bookmarkEnd w:id="56"/>
      <w:bookmarkEnd w:id="57"/>
      <w:r>
        <w:rPr>
          <w:rFonts w:hint="eastAsia" w:ascii="仿宋" w:hAnsi="仿宋" w:eastAsia="仿宋" w:cs="仿宋"/>
          <w:color w:val="auto"/>
          <w:sz w:val="24"/>
          <w:szCs w:val="24"/>
          <w:highlight w:val="none"/>
        </w:rPr>
        <w:t>。</w:t>
      </w:r>
      <w:bookmarkEnd w:id="53"/>
      <w:bookmarkEnd w:id="54"/>
      <w:bookmarkEnd w:id="55"/>
    </w:p>
    <w:p w14:paraId="1E92644B">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3、由</w:t>
      </w:r>
      <w:r>
        <w:rPr>
          <w:rFonts w:hint="eastAsia" w:ascii="仿宋" w:hAnsi="仿宋" w:eastAsia="仿宋" w:cs="仿宋"/>
          <w:color w:val="auto"/>
          <w:kern w:val="0"/>
          <w:sz w:val="24"/>
          <w:szCs w:val="24"/>
          <w:highlight w:val="none"/>
        </w:rPr>
        <w:t>投标人、法定代表人及其项目经理(建造师)</w:t>
      </w:r>
      <w:r>
        <w:rPr>
          <w:rFonts w:hint="eastAsia" w:ascii="仿宋" w:hAnsi="仿宋" w:eastAsia="仿宋" w:cs="仿宋"/>
          <w:color w:val="auto"/>
          <w:sz w:val="24"/>
          <w:szCs w:val="24"/>
          <w:highlight w:val="none"/>
        </w:rPr>
        <w:t>进行承诺，不进行现场网上信用查询的失信行为：</w:t>
      </w:r>
    </w:p>
    <w:p w14:paraId="4C7AD442">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bookmarkStart w:id="58" w:name="OLE_LINK124"/>
      <w:bookmarkStart w:id="59" w:name="OLE_LINK123"/>
      <w:r>
        <w:rPr>
          <w:rFonts w:hint="eastAsia" w:ascii="仿宋" w:hAnsi="仿宋" w:eastAsia="仿宋" w:cs="仿宋"/>
          <w:color w:val="auto"/>
          <w:sz w:val="24"/>
          <w:szCs w:val="24"/>
          <w:highlight w:val="none"/>
        </w:rPr>
        <w:t>①前三年有行贿犯罪行为的单位和个人；</w:t>
      </w:r>
    </w:p>
    <w:p w14:paraId="7B3005EC">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②被滁州市县两级公管部门取消在一定期限内的投标资格且在取消期限内的；</w:t>
      </w:r>
    </w:p>
    <w:p w14:paraId="5BB5EA53">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③被滁州市县两级各行业主管部门取消在一定期限内的投标资格且在取消期限内的；</w:t>
      </w:r>
    </w:p>
    <w:p w14:paraId="4260D52F">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④因拖欠农民工工资被</w:t>
      </w:r>
      <w:bookmarkStart w:id="60" w:name="OLE_LINK107"/>
      <w:bookmarkStart w:id="61" w:name="OLE_LINK108"/>
      <w:r>
        <w:rPr>
          <w:rFonts w:hint="eastAsia" w:ascii="仿宋" w:hAnsi="仿宋" w:eastAsia="仿宋" w:cs="仿宋"/>
          <w:color w:val="auto"/>
          <w:sz w:val="24"/>
          <w:szCs w:val="24"/>
          <w:highlight w:val="none"/>
        </w:rPr>
        <w:t>县级及以上有关行政主管部门限制投标资格且在限制期限内的</w:t>
      </w:r>
      <w:bookmarkEnd w:id="60"/>
      <w:bookmarkEnd w:id="61"/>
      <w:r>
        <w:rPr>
          <w:rFonts w:hint="eastAsia" w:ascii="仿宋" w:hAnsi="仿宋" w:eastAsia="仿宋" w:cs="仿宋"/>
          <w:color w:val="auto"/>
          <w:sz w:val="24"/>
          <w:szCs w:val="24"/>
          <w:highlight w:val="none"/>
        </w:rPr>
        <w:t>；</w:t>
      </w:r>
    </w:p>
    <w:p w14:paraId="7C3CCD73">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58"/>
    <w:bookmarkEnd w:id="59"/>
    <w:p w14:paraId="7609E87A">
      <w:pPr>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（二）政府采购项目</w:t>
      </w:r>
    </w:p>
    <w:p w14:paraId="776D282A">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1、“信用中国”网站（</w:t>
      </w:r>
      <w:r>
        <w:rPr>
          <w:rStyle w:val="28"/>
          <w:rFonts w:hint="eastAsia"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rPr>
        <w:t>）查询供应商、法定代表人及其项目负责人以下失信行为：</w:t>
      </w:r>
    </w:p>
    <w:p w14:paraId="44AD1CDC">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①被列入“失信被执行人”的;</w:t>
      </w:r>
    </w:p>
    <w:p w14:paraId="300C216F">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②被列入“重大税收违法失信主体”的；</w:t>
      </w:r>
    </w:p>
    <w:p w14:paraId="1B3C4D5C">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③被列入 “严重失信主体名单”的；</w:t>
      </w:r>
    </w:p>
    <w:p w14:paraId="31A676FA">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④在“信用中国”网站上披露的仍在公示期的严重失信行为(具体行为类别及判定依据见附件2)的。</w:t>
      </w:r>
    </w:p>
    <w:p w14:paraId="4894ABB1">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2、国家企业信用信息公示系统网站（</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"http://www.gsxt.gov.cn）查询"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www.gsxt.gov.cn）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查询供应商以下失信行为：</w:t>
      </w:r>
    </w:p>
    <w:p w14:paraId="53B0EBA3">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bookmarkStart w:id="62" w:name="OLE_LINK100"/>
      <w:bookmarkStart w:id="63" w:name="OLE_LINK102"/>
      <w:bookmarkStart w:id="64" w:name="OLE_LINK101"/>
      <w:r>
        <w:rPr>
          <w:rFonts w:hint="eastAsia" w:ascii="仿宋" w:hAnsi="仿宋" w:eastAsia="仿宋" w:cs="仿宋"/>
          <w:color w:val="auto"/>
          <w:sz w:val="24"/>
          <w:szCs w:val="24"/>
          <w:highlight w:val="none"/>
        </w:rPr>
        <w:t>被列入“经营异常名录”或者“严重违法失信名单”的</w:t>
      </w:r>
      <w:bookmarkEnd w:id="62"/>
      <w:bookmarkEnd w:id="63"/>
      <w:bookmarkEnd w:id="64"/>
      <w:r>
        <w:rPr>
          <w:rFonts w:hint="eastAsia" w:ascii="仿宋" w:hAnsi="仿宋" w:eastAsia="仿宋" w:cs="仿宋"/>
          <w:color w:val="auto"/>
          <w:sz w:val="24"/>
          <w:szCs w:val="24"/>
          <w:highlight w:val="none"/>
        </w:rPr>
        <w:t>。</w:t>
      </w:r>
    </w:p>
    <w:p w14:paraId="34C21F72">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3、中国政府采购网站（</w:t>
      </w:r>
      <w:bookmarkStart w:id="65" w:name="OLE_LINK96"/>
      <w:bookmarkStart w:id="66" w:name="OLE_LINK95"/>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rPr>
        <w:fldChar w:fldCharType="end"/>
      </w:r>
      <w:bookmarkEnd w:id="65"/>
      <w:bookmarkEnd w:id="66"/>
      <w:r>
        <w:rPr>
          <w:rFonts w:hint="eastAsia" w:ascii="仿宋" w:hAnsi="仿宋" w:eastAsia="仿宋" w:cs="仿宋"/>
          <w:color w:val="auto"/>
          <w:sz w:val="24"/>
          <w:szCs w:val="24"/>
          <w:highlight w:val="none"/>
        </w:rPr>
        <w:t>）查询以下失信行为：</w:t>
      </w:r>
    </w:p>
    <w:p w14:paraId="47A41AB8">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bookmarkStart w:id="67" w:name="OLE_LINK104"/>
      <w:bookmarkStart w:id="68" w:name="OLE_LINK106"/>
      <w:bookmarkStart w:id="69" w:name="OLE_LINK105"/>
      <w:r>
        <w:rPr>
          <w:rFonts w:hint="eastAsia" w:ascii="仿宋" w:hAnsi="仿宋" w:eastAsia="仿宋" w:cs="仿宋"/>
          <w:color w:val="auto"/>
          <w:sz w:val="24"/>
          <w:szCs w:val="24"/>
          <w:highlight w:val="none"/>
        </w:rPr>
        <w:t>被列入“政府采购严重违法失信行为信息记录”的</w:t>
      </w:r>
      <w:bookmarkEnd w:id="67"/>
      <w:bookmarkEnd w:id="68"/>
      <w:bookmarkEnd w:id="69"/>
      <w:r>
        <w:rPr>
          <w:rFonts w:hint="eastAsia" w:ascii="仿宋" w:hAnsi="仿宋" w:eastAsia="仿宋" w:cs="仿宋"/>
          <w:color w:val="auto"/>
          <w:sz w:val="24"/>
          <w:szCs w:val="24"/>
          <w:highlight w:val="none"/>
        </w:rPr>
        <w:t>。</w:t>
      </w:r>
    </w:p>
    <w:p w14:paraId="68E46A1A">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4、由竞争主体进行承诺，不进行现场网上信用查询的失信行为：</w:t>
      </w:r>
    </w:p>
    <w:p w14:paraId="6EAFD6FB">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①前三年有行贿犯罪行为的单位和个人。</w:t>
      </w:r>
    </w:p>
    <w:p w14:paraId="2395C39B">
      <w:pPr>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二、在开评标活动中的查询程序</w:t>
      </w:r>
    </w:p>
    <w:p w14:paraId="14AEA0A3">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3EF11F82">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A6D4A8E">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3、项目单位及其委托的代理机构应当做好信用查询结果截图和记录留存。</w:t>
      </w:r>
    </w:p>
    <w:p w14:paraId="05B871D8">
      <w:pPr>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三、相关要求</w:t>
      </w:r>
    </w:p>
    <w:p w14:paraId="34ADF0D9">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412CBF60">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0344E22C">
      <w:pPr>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"https://credit.ah.gov.cn/xinyong-fuwu/xvbahv/index.html"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https://credit.ah.gov.cn/xinyong-fuwu/xvbahv/index.html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FD42D1A">
      <w:pPr>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2、“信用中国”查询的严重失信行为判定依据为各行业主管部门下发的联合惩戒文件中规定的行为（按附件2执行）。</w:t>
      </w:r>
    </w:p>
    <w:p w14:paraId="3DED9500">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3、资格预审的项目以递交资格预审申请文件截止时间查询为准；资格后审的项目以递交投标文件截止时间查询为准。</w:t>
      </w:r>
    </w:p>
    <w:p w14:paraId="7573EF9D">
      <w:pPr>
        <w:pageBreakBefore w:val="0"/>
        <w:widowControl w:val="0"/>
        <w:kinsoku/>
        <w:overflowPunct/>
        <w:topLinePunct w:val="0"/>
        <w:autoSpaceDE/>
        <w:autoSpaceDN/>
        <w:bidi w:val="0"/>
        <w:spacing w:line="400" w:lineRule="exact"/>
        <w:textAlignment w:val="auto"/>
        <w:rPr>
          <w:rFonts w:hint="eastAsia" w:ascii="仿宋" w:hAnsi="仿宋" w:eastAsia="仿宋" w:cs="仿宋"/>
          <w:color w:val="auto"/>
          <w:highlight w:val="none"/>
        </w:rPr>
      </w:pPr>
    </w:p>
    <w:p w14:paraId="6FD80E25">
      <w:pPr>
        <w:keepNext/>
        <w:keepLines/>
        <w:pageBreakBefore w:val="0"/>
        <w:widowControl w:val="0"/>
        <w:kinsoku/>
        <w:overflowPunct/>
        <w:topLinePunct w:val="0"/>
        <w:autoSpaceDE/>
        <w:autoSpaceDN/>
        <w:bidi w:val="0"/>
        <w:spacing w:before="200" w:after="200" w:line="400" w:lineRule="exact"/>
        <w:textAlignment w:val="auto"/>
        <w:outlineLvl w:val="0"/>
        <w:rPr>
          <w:rFonts w:hint="eastAsia" w:ascii="仿宋" w:hAnsi="仿宋" w:eastAsia="仿宋" w:cs="仿宋"/>
          <w:b/>
          <w:bCs/>
          <w:color w:val="auto"/>
          <w:kern w:val="44"/>
          <w:sz w:val="32"/>
          <w:szCs w:val="32"/>
          <w:highlight w:val="none"/>
        </w:rPr>
      </w:pPr>
      <w:bookmarkStart w:id="70" w:name="_Toc95223549"/>
      <w:bookmarkStart w:id="71" w:name="OLE_LINK31"/>
      <w:bookmarkStart w:id="72" w:name="OLE_LINK32"/>
      <w:bookmarkStart w:id="73" w:name="OLE_LINK41"/>
      <w:r>
        <w:rPr>
          <w:rFonts w:hint="eastAsia" w:ascii="仿宋" w:hAnsi="仿宋" w:eastAsia="仿宋" w:cs="仿宋"/>
          <w:b/>
          <w:bCs/>
          <w:color w:val="auto"/>
          <w:kern w:val="44"/>
          <w:sz w:val="32"/>
          <w:szCs w:val="32"/>
          <w:highlight w:val="none"/>
        </w:rPr>
        <w:t xml:space="preserve">附件2 </w:t>
      </w:r>
      <w:bookmarkStart w:id="74" w:name="OLE_LINK74"/>
      <w:bookmarkStart w:id="75" w:name="OLE_LINK75"/>
    </w:p>
    <w:p w14:paraId="0918CF83">
      <w:pPr>
        <w:keepNext/>
        <w:keepLines/>
        <w:pageBreakBefore w:val="0"/>
        <w:widowControl w:val="0"/>
        <w:kinsoku/>
        <w:overflowPunct/>
        <w:topLinePunct w:val="0"/>
        <w:autoSpaceDE/>
        <w:autoSpaceDN/>
        <w:bidi w:val="0"/>
        <w:spacing w:before="200" w:after="200" w:line="400" w:lineRule="exact"/>
        <w:jc w:val="center"/>
        <w:textAlignment w:val="auto"/>
        <w:outlineLvl w:val="0"/>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rPr>
        <w:t>“信用中国”查询的严重失信行为</w:t>
      </w:r>
      <w:bookmarkStart w:id="76" w:name="OLE_LINK39"/>
      <w:bookmarkStart w:id="77" w:name="OLE_LINK76"/>
      <w:bookmarkStart w:id="78" w:name="OLE_LINK38"/>
      <w:bookmarkStart w:id="79" w:name="OLE_LINK40"/>
      <w:r>
        <w:rPr>
          <w:rFonts w:hint="eastAsia" w:ascii="仿宋" w:hAnsi="仿宋" w:eastAsia="仿宋" w:cs="仿宋"/>
          <w:b/>
          <w:bCs/>
          <w:color w:val="auto"/>
          <w:kern w:val="44"/>
          <w:sz w:val="32"/>
          <w:szCs w:val="32"/>
          <w:highlight w:val="none"/>
        </w:rPr>
        <w:t>类别及判定依据</w:t>
      </w:r>
      <w:bookmarkEnd w:id="70"/>
      <w:bookmarkEnd w:id="74"/>
      <w:bookmarkEnd w:id="75"/>
      <w:bookmarkEnd w:id="76"/>
      <w:bookmarkEnd w:id="77"/>
      <w:bookmarkEnd w:id="78"/>
      <w:bookmarkEnd w:id="79"/>
    </w:p>
    <w:bookmarkEnd w:id="71"/>
    <w:bookmarkEnd w:id="72"/>
    <w:bookmarkEnd w:id="73"/>
    <w:p w14:paraId="319D212B">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“信用中国”查询的严重失信行为判定依据为各行业主管部门下发的联合惩戒文件中规定的行为。下面将部分类别的严重失信行为列举如下：</w:t>
      </w:r>
    </w:p>
    <w:p w14:paraId="02D33A1E">
      <w:pPr>
        <w:pageBreakBefore w:val="0"/>
        <w:widowControl w:val="0"/>
        <w:kinsoku/>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一、安全生产领域严重失信行为：</w:t>
      </w:r>
    </w:p>
    <w:p w14:paraId="1BEFA144">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（一）下列发生生产安全事故的生产经营单位及其有关人员应当列入严重失信主体名单：</w:t>
      </w:r>
    </w:p>
    <w:p w14:paraId="2C885926">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1、发生特别重大、重大生产安全事故的生产经营单位及其主要负责人，以及经调查认定对该事故发生负有责任，应当列入名单的其他单位和人员；</w:t>
      </w:r>
    </w:p>
    <w:p w14:paraId="5B8E9C99">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2、12个月内累计发生2起以上较大生产安全事故的生产经营单位及其主要负责人；</w:t>
      </w:r>
    </w:p>
    <w:p w14:paraId="1437F1F7">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3、发生生产安全事故，情节特别严重、影响特别恶劣，依照《中华人民共和国安全生产法》第一百一十四条的规定被处以罚款数额2倍以上5倍以下罚款的生产经营单位及其主要负责人；</w:t>
      </w:r>
    </w:p>
    <w:p w14:paraId="09DDC0B0">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4、瞒报、谎报生产安全事故的生产经营单位及其有关责任人员；</w:t>
      </w:r>
    </w:p>
    <w:p w14:paraId="531E8B4B">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5、发生生产安全事故后，不立即组织抢救或者在事故调查处理期间擅离职守或者逃匿的生产经营单位主要负责人。</w:t>
      </w:r>
    </w:p>
    <w:p w14:paraId="5F81F7A8">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（二）下列未发生生产安全事故，但因安全生产违法行为，受到行政处罚的生产经营单位或者机构及其有关人员，应当列入严重失信主体名单：</w:t>
      </w:r>
    </w:p>
    <w:p w14:paraId="4FA87CAA">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1、未依法取得安全生产相关许可或者许可被暂扣、吊销期间从事相关生产经营活动的生产经营单位及其主要负责人；</w:t>
      </w:r>
    </w:p>
    <w:p w14:paraId="1A66987E">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2、承担安全评价、认证、检测、检验职责的机构及其直接责任人员租借资质、挂靠、出具虚假报告或者证书的；</w:t>
      </w:r>
    </w:p>
    <w:p w14:paraId="6B820C4E">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3、在应急管理部门作出行政处罚后，有执行能力拒不执行或者逃避执行的生产经营单位及其主要负责人；</w:t>
      </w:r>
    </w:p>
    <w:p w14:paraId="62DFA9AF">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4、其他违反安全生产法律法规受到行政处罚，且性质恶劣、情节严重的。</w:t>
      </w:r>
    </w:p>
    <w:p w14:paraId="013CDAC6">
      <w:pPr>
        <w:pageBreakBefore w:val="0"/>
        <w:widowControl w:val="0"/>
        <w:kinsoku/>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依据：《安全生产严重失信主体名单管理办法》（2023年8月8日应急管理部令第11号）</w:t>
      </w:r>
    </w:p>
    <w:p w14:paraId="41659DB0">
      <w:pPr>
        <w:pageBreakBefore w:val="0"/>
        <w:widowControl w:val="0"/>
        <w:kinsoku/>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二、环境保护领域严重失信行为：</w:t>
      </w:r>
    </w:p>
    <w:p w14:paraId="17CCA20B">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（一）因为环境违法构成</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"https://baike.sogou.com/m/fullLemma?lid=10403954&amp;g_ut=3" \t "https://baike.sogou.com/m/_blank"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环境犯罪</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的；</w:t>
      </w:r>
    </w:p>
    <w:p w14:paraId="66F0A0BF">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"https://baike.sogou.com/m/fullLemma?lid=76033123&amp;g_ut=3" \t "https://baike.sogou.com/m/_blank"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建设项目环境影响评价</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文件未按规定通过审批，擅自开工建设的；</w:t>
      </w:r>
    </w:p>
    <w:p w14:paraId="43C61839">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（三）建设项目环保设施未建成、环保措施未落实、未通过</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"https://baike.sogou.com/m/fullLemma?lid=6470550&amp;g_ut=3" \t "https://baike.sogou.com/m/_blank"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竣工环保验收</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或者验收不合格，主体工程正式投入生产或者使用的；</w:t>
      </w:r>
    </w:p>
    <w:p w14:paraId="7E5297F8">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（四）建设项目性质、规模、地点、采用的生产工艺或者防治污染、防止生态破坏的措施发生重大变动，未重新报批环境影响评价文件，擅自投入生产或者使用的；</w:t>
      </w:r>
    </w:p>
    <w:p w14:paraId="7B772B40">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（五）主要污染物排放总量超过控制指标的；</w:t>
      </w:r>
    </w:p>
    <w:p w14:paraId="42EDD7B0">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（六）私设暗管或者利用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"https://baike.sogou.com/m/fullLemma?lid=41657319&amp;g_ut=3" \t "https://baike.sogou.com/m/_blank"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渗井</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、渗坑、裂隙、溶洞等排放、倾倒、处置水污染物，或者通过私设旁路排放</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"https://baike.sogou.com/m/fullLemma?lid=7758328&amp;g_ut=3" \t "https://baike.sogou.com/m/_blank"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大气污染物</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的；</w:t>
      </w:r>
    </w:p>
    <w:p w14:paraId="6E205D2A">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（七）非法排放、倾倒、处置危险废物，或者向无</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"https://baike.sogou.com/m/fullLemma?lid=5923292&amp;g_ut=3" \t "https://baike.sogou.com/m/_blank"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经营许可证</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或者超出经营许可范围的单位或个人提供或者委托其收集、贮存、利用、处置危险废物的；</w:t>
      </w:r>
    </w:p>
    <w:p w14:paraId="34CA9C19">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"https://baike.sogou.com/m/fullLemma?lid=167759803&amp;g_ut=3" \t "https://baike.sogou.com/m/_blank"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环境违法行为</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造成集中式生活饮用水水源取水中断的；</w:t>
      </w:r>
    </w:p>
    <w:p w14:paraId="3753A246">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（九）环境违法行为对生活饮用水水源保护区、自然保护区、</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"https://baike.sogou.com/m/fullLemma?lid=155199213&amp;g_ut=3" \t "https://baike.sogou.com/m/_blank"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国家重点生态功能区</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、风景名胜区、居住功能区、</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"https://baike.sogou.com/m/fullLemma?lid=7757164&amp;g_ut=3" \t "https://baike.sogou.com/m/_blank"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基本农田保护区</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等环境敏感区造成重大不利影响的；</w:t>
      </w:r>
    </w:p>
    <w:p w14:paraId="5F35601F">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（十）违法从事自然资源开发、交通基础设施建设，以及其他开发建设活动，造成严重生态破坏的；</w:t>
      </w:r>
    </w:p>
    <w:p w14:paraId="1967E8CC">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（十一）发生较大及以上突发环境事件的；</w:t>
      </w:r>
    </w:p>
    <w:p w14:paraId="2A6E359B">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（十二）被环保部门挂牌督办，整改逾期未完成的；</w:t>
      </w:r>
    </w:p>
    <w:p w14:paraId="6E6EA02F">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（十三）以暴力、威胁等方式拒绝、阻挠环保部门工作人员现场检查的；</w:t>
      </w:r>
    </w:p>
    <w:p w14:paraId="591DAD00">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（十四）违反重污染天气应急预案有关规定，对重污染天气响应不力的。</w:t>
      </w:r>
    </w:p>
    <w:p w14:paraId="5C576A5C">
      <w:pPr>
        <w:pageBreakBefore w:val="0"/>
        <w:widowControl w:val="0"/>
        <w:kinsoku/>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依据：《</w:t>
      </w:r>
      <w:bookmarkStart w:id="80" w:name="OLE_LINK8"/>
      <w:bookmarkStart w:id="81" w:name="OLE_LINK10"/>
      <w:bookmarkStart w:id="82" w:name="OLE_LINK9"/>
      <w:r>
        <w:rPr>
          <w:rFonts w:hint="eastAsia" w:ascii="仿宋" w:hAnsi="仿宋" w:eastAsia="仿宋" w:cs="仿宋"/>
          <w:b/>
          <w:color w:val="auto"/>
          <w:sz w:val="24"/>
          <w:szCs w:val="24"/>
          <w:highlight w:val="none"/>
        </w:rPr>
        <w:t>关于对环境保护领域失信生产经营单位及其有关人员开展联合惩戒的合作备忘录</w:t>
      </w:r>
      <w:bookmarkEnd w:id="80"/>
      <w:bookmarkEnd w:id="81"/>
      <w:bookmarkEnd w:id="82"/>
      <w:r>
        <w:rPr>
          <w:rFonts w:hint="eastAsia" w:ascii="仿宋" w:hAnsi="仿宋" w:eastAsia="仿宋" w:cs="仿宋"/>
          <w:b/>
          <w:color w:val="auto"/>
          <w:sz w:val="24"/>
          <w:szCs w:val="24"/>
          <w:highlight w:val="none"/>
        </w:rPr>
        <w:t>》《</w:t>
      </w:r>
      <w:bookmarkStart w:id="83" w:name="OLE_LINK11"/>
      <w:bookmarkStart w:id="84" w:name="OLE_LINK12"/>
      <w:r>
        <w:rPr>
          <w:rFonts w:hint="eastAsia" w:ascii="仿宋" w:hAnsi="仿宋" w:eastAsia="仿宋" w:cs="仿宋"/>
          <w:b/>
          <w:color w:val="auto"/>
          <w:sz w:val="24"/>
          <w:szCs w:val="24"/>
          <w:highlight w:val="none"/>
        </w:rPr>
        <w:t>企业环境信用评价办法（试行）</w:t>
      </w:r>
      <w:bookmarkEnd w:id="83"/>
      <w:bookmarkEnd w:id="84"/>
      <w:r>
        <w:rPr>
          <w:rFonts w:hint="eastAsia" w:ascii="仿宋" w:hAnsi="仿宋" w:eastAsia="仿宋" w:cs="仿宋"/>
          <w:b/>
          <w:color w:val="auto"/>
          <w:sz w:val="24"/>
          <w:szCs w:val="24"/>
          <w:highlight w:val="none"/>
        </w:rPr>
        <w:t>》（环发〔2013〕150号）</w:t>
      </w:r>
    </w:p>
    <w:p w14:paraId="5D9FDC2F">
      <w:pPr>
        <w:pageBreakBefore w:val="0"/>
        <w:widowControl w:val="0"/>
        <w:kinsoku/>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bCs/>
          <w:color w:val="auto"/>
          <w:sz w:val="24"/>
          <w:szCs w:val="24"/>
          <w:highlight w:val="none"/>
        </w:rPr>
        <w:t>公共资源交易领域严重失信行为</w:t>
      </w:r>
    </w:p>
    <w:p w14:paraId="2BEC3EFF">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（一）违反法律规定，必须进行招标的项目而不招标的，将必须进行招标的项目化整为零或者以其他任何方式规避招标的； </w:t>
      </w:r>
    </w:p>
    <w:p w14:paraId="3AC95431">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（二）招标代理机构违反法律规定，泄露应当保密的与招标投标活动有关的情况和资料的，或者与招标人、投标人串通损害 国家利益、社会公共利益或者他人合法权益的；</w:t>
      </w:r>
    </w:p>
    <w:p w14:paraId="5A72F75F">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（三）招标人以不合理的条件限制或者排斥潜在投标人的，对潜在投标人实行歧视待遇的，强制要求投标人组成联合体共同 投标的，或者限制投标人之间竞争的；</w:t>
      </w:r>
    </w:p>
    <w:p w14:paraId="5BDCEA48">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（四）依法必须进行招标的项目的招标人向他人透露已获取招标文件的潜在投标人的名称、数量或者可能影响公平竞争的有 关招标投标的其他情况的，或者泄露标底的；</w:t>
      </w:r>
    </w:p>
    <w:p w14:paraId="679AFE69">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（五）投标人相互串通投标或者与招标人串通投标的，投标人以向招标人或者评标委员会成员行贿的手段谋取中标的； </w:t>
      </w:r>
    </w:p>
    <w:p w14:paraId="66014A13">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（六）投标人以他人名义投标或者以其他方式弄虚作假，骗取中标的；</w:t>
      </w:r>
    </w:p>
    <w:p w14:paraId="457FFF8C">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（七）依法必须进行招标的项目，招标人违反法律规定，与投标人就投标价格、投标方案等实质性内容进行谈判的；</w:t>
      </w:r>
    </w:p>
    <w:p w14:paraId="5EEA9BB1">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6C42427D">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（九）招标人在评标委员会依法推荐的中标候选人以外确定中标人的，依法必须进行招标的项目在所有投标被评标委员会否 决后自行确定中标人的； </w:t>
      </w:r>
    </w:p>
    <w:p w14:paraId="4E71E030">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（十）中标人将中标项目转让给他人的，将中标项目肢解后分别转让给他人的，违反法律规定将中标项目的部分主体、关键 性工作分包给他人的，或者分包人再次分包的； </w:t>
      </w:r>
    </w:p>
    <w:p w14:paraId="486AB8C5">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（十一）招标人与中标人不按照招标文件和中标人的投标文件订立合同的，或者招标人、中标人订立背离合同实质性内容的 协议的； </w:t>
      </w:r>
    </w:p>
    <w:p w14:paraId="616B3983">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（十二）中标人不按照与招标人订立的合同履行义务，情节严重的； </w:t>
      </w:r>
    </w:p>
    <w:p w14:paraId="722CE165">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1E4FBF8A">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16F4BB7E">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（十五）采购人对应当实行集中采购的政府采购项目，不委托集中采购机构实行集中采购的； </w:t>
      </w:r>
    </w:p>
    <w:p w14:paraId="519C4BEF">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（十六）采购人、采购代理机构违反法律规定隐匿、销毁应当保存的采购文件或者伪造、变造采购文件的； </w:t>
      </w:r>
    </w:p>
    <w:p w14:paraId="08EB589D">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4B72AA23">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（十八）疫苗生产企业向县级疾病预防控制机构以外的单位或者个人销售第二类疫苗的； </w:t>
      </w:r>
    </w:p>
    <w:p w14:paraId="03078105">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（十九）存在其他违反公共资源交易法律法规行为的。</w:t>
      </w:r>
    </w:p>
    <w:p w14:paraId="1E3ED23B">
      <w:pPr>
        <w:pageBreakBefore w:val="0"/>
        <w:widowControl w:val="0"/>
        <w:kinsoku/>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依据：《</w:t>
      </w:r>
      <w:bookmarkStart w:id="85" w:name="OLE_LINK14"/>
      <w:bookmarkStart w:id="86" w:name="OLE_LINK13"/>
      <w:r>
        <w:rPr>
          <w:rFonts w:hint="eastAsia" w:ascii="仿宋" w:hAnsi="仿宋" w:eastAsia="仿宋" w:cs="仿宋"/>
          <w:b/>
          <w:color w:val="auto"/>
          <w:sz w:val="24"/>
          <w:szCs w:val="24"/>
          <w:highlight w:val="none"/>
        </w:rPr>
        <w:t>关于对公共资源交易领域严重失信主体开展联合惩戒的备忘录</w:t>
      </w:r>
      <w:bookmarkEnd w:id="85"/>
      <w:bookmarkEnd w:id="86"/>
      <w:r>
        <w:rPr>
          <w:rFonts w:hint="eastAsia" w:ascii="仿宋" w:hAnsi="仿宋" w:eastAsia="仿宋" w:cs="仿宋"/>
          <w:b/>
          <w:color w:val="auto"/>
          <w:sz w:val="24"/>
          <w:szCs w:val="24"/>
          <w:highlight w:val="none"/>
        </w:rPr>
        <w:t>》（发改法规〔2018〕457号）</w:t>
      </w:r>
    </w:p>
    <w:p w14:paraId="71912B5B">
      <w:pPr>
        <w:pageBreakBefore w:val="0"/>
        <w:widowControl w:val="0"/>
        <w:kinsoku/>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四、</w:t>
      </w:r>
      <w:r>
        <w:rPr>
          <w:rFonts w:hint="eastAsia" w:ascii="仿宋" w:hAnsi="仿宋" w:eastAsia="仿宋" w:cs="仿宋"/>
          <w:b/>
          <w:bCs/>
          <w:color w:val="auto"/>
          <w:sz w:val="24"/>
          <w:szCs w:val="24"/>
          <w:highlight w:val="none"/>
        </w:rPr>
        <w:t>社会保险领域严重失信行为</w:t>
      </w:r>
    </w:p>
    <w:p w14:paraId="0E81DE40">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（一）用人单位未按相关规定参加社会保险且拒不整改的； </w:t>
      </w:r>
    </w:p>
    <w:p w14:paraId="4AD01E5A">
      <w:pPr>
        <w:pageBreakBefore w:val="0"/>
        <w:widowControl w:val="0"/>
        <w:kinsoku/>
        <w:overflowPunct/>
        <w:topLinePunct w:val="0"/>
        <w:autoSpaceDE/>
        <w:autoSpaceDN/>
        <w:bidi w:val="0"/>
        <w:adjustRightInd w:val="0"/>
        <w:snapToGrid w:val="0"/>
        <w:spacing w:line="400" w:lineRule="exact"/>
        <w:ind w:left="141" w:leftChars="67"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（二）用人单位未如实申报社会保险缴费基数且拒不整改的； </w:t>
      </w:r>
    </w:p>
    <w:p w14:paraId="7E673450">
      <w:pPr>
        <w:pageBreakBefore w:val="0"/>
        <w:widowControl w:val="0"/>
        <w:kinsoku/>
        <w:overflowPunct/>
        <w:topLinePunct w:val="0"/>
        <w:autoSpaceDE/>
        <w:autoSpaceDN/>
        <w:bidi w:val="0"/>
        <w:adjustRightInd w:val="0"/>
        <w:snapToGrid w:val="0"/>
        <w:spacing w:line="400" w:lineRule="exact"/>
        <w:ind w:left="141" w:leftChars="67"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（三）应缴纳社会保险费却拒不缴纳的； </w:t>
      </w:r>
    </w:p>
    <w:p w14:paraId="654EC22E">
      <w:pPr>
        <w:pageBreakBefore w:val="0"/>
        <w:widowControl w:val="0"/>
        <w:kinsoku/>
        <w:overflowPunct/>
        <w:topLinePunct w:val="0"/>
        <w:autoSpaceDE/>
        <w:autoSpaceDN/>
        <w:bidi w:val="0"/>
        <w:adjustRightInd w:val="0"/>
        <w:snapToGrid w:val="0"/>
        <w:spacing w:line="400" w:lineRule="exact"/>
        <w:ind w:left="141" w:leftChars="67"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（四）隐匿、转移、侵占、挪用社会保险费款、基金或者违规投资运营的；</w:t>
      </w:r>
    </w:p>
    <w:p w14:paraId="2693EA2F">
      <w:pPr>
        <w:pageBreakBefore w:val="0"/>
        <w:widowControl w:val="0"/>
        <w:kinsoku/>
        <w:overflowPunct/>
        <w:topLinePunct w:val="0"/>
        <w:autoSpaceDE/>
        <w:autoSpaceDN/>
        <w:bidi w:val="0"/>
        <w:adjustRightInd w:val="0"/>
        <w:snapToGrid w:val="0"/>
        <w:spacing w:line="400" w:lineRule="exact"/>
        <w:ind w:left="141" w:leftChars="67"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（五）以欺诈、伪造证明材料或者其他手段参加、申报社会保险和骗取社会保险基金支出或社会保险待遇的； </w:t>
      </w:r>
    </w:p>
    <w:p w14:paraId="7DC78528">
      <w:pPr>
        <w:pageBreakBefore w:val="0"/>
        <w:widowControl w:val="0"/>
        <w:kinsoku/>
        <w:overflowPunct/>
        <w:topLinePunct w:val="0"/>
        <w:autoSpaceDE/>
        <w:autoSpaceDN/>
        <w:bidi w:val="0"/>
        <w:adjustRightInd w:val="0"/>
        <w:snapToGrid w:val="0"/>
        <w:spacing w:line="400" w:lineRule="exact"/>
        <w:ind w:left="141" w:leftChars="67"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（六）非法获取、出售或变相交易社会保险个人权益数据的； </w:t>
      </w:r>
    </w:p>
    <w:p w14:paraId="577A6754">
      <w:pPr>
        <w:pageBreakBefore w:val="0"/>
        <w:widowControl w:val="0"/>
        <w:kinsoku/>
        <w:overflowPunct/>
        <w:topLinePunct w:val="0"/>
        <w:autoSpaceDE/>
        <w:autoSpaceDN/>
        <w:bidi w:val="0"/>
        <w:adjustRightInd w:val="0"/>
        <w:snapToGrid w:val="0"/>
        <w:spacing w:line="400" w:lineRule="exact"/>
        <w:ind w:left="141" w:leftChars="67"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（七）社会保险服务机构违反服务协议或相关规定的； </w:t>
      </w:r>
    </w:p>
    <w:p w14:paraId="08DE184D">
      <w:pPr>
        <w:pageBreakBefore w:val="0"/>
        <w:widowControl w:val="0"/>
        <w:kinsoku/>
        <w:overflowPunct/>
        <w:topLinePunct w:val="0"/>
        <w:autoSpaceDE/>
        <w:autoSpaceDN/>
        <w:bidi w:val="0"/>
        <w:adjustRightInd w:val="0"/>
        <w:snapToGrid w:val="0"/>
        <w:spacing w:line="400" w:lineRule="exact"/>
        <w:ind w:left="141" w:leftChars="67"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0389F3EC">
      <w:pPr>
        <w:pageBreakBefore w:val="0"/>
        <w:widowControl w:val="0"/>
        <w:kinsoku/>
        <w:overflowPunct/>
        <w:topLinePunct w:val="0"/>
        <w:autoSpaceDE/>
        <w:autoSpaceDN/>
        <w:bidi w:val="0"/>
        <w:adjustRightInd w:val="0"/>
        <w:snapToGrid w:val="0"/>
        <w:spacing w:line="400" w:lineRule="exact"/>
        <w:ind w:left="141" w:leftChars="67"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（九）其他违反法律法规规定的。</w:t>
      </w:r>
    </w:p>
    <w:p w14:paraId="56CE344F">
      <w:pPr>
        <w:pageBreakBefore w:val="0"/>
        <w:widowControl w:val="0"/>
        <w:kinsoku/>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依据：《</w:t>
      </w:r>
      <w:bookmarkStart w:id="87" w:name="OLE_LINK16"/>
      <w:bookmarkStart w:id="88" w:name="OLE_LINK15"/>
      <w:r>
        <w:rPr>
          <w:rFonts w:hint="eastAsia" w:ascii="仿宋" w:hAnsi="仿宋" w:eastAsia="仿宋" w:cs="仿宋"/>
          <w:b/>
          <w:color w:val="auto"/>
          <w:sz w:val="24"/>
          <w:szCs w:val="24"/>
          <w:highlight w:val="none"/>
        </w:rPr>
        <w:t>关于对社会保险领域严重失信企业及其有关人员实施联合惩戒的合作备忘录</w:t>
      </w:r>
      <w:bookmarkEnd w:id="87"/>
      <w:bookmarkEnd w:id="88"/>
      <w:r>
        <w:rPr>
          <w:rFonts w:hint="eastAsia" w:ascii="仿宋" w:hAnsi="仿宋" w:eastAsia="仿宋" w:cs="仿宋"/>
          <w:b/>
          <w:color w:val="auto"/>
          <w:sz w:val="24"/>
          <w:szCs w:val="24"/>
          <w:highlight w:val="none"/>
        </w:rPr>
        <w:t>》（发改财金〔2018〕1704号）</w:t>
      </w:r>
    </w:p>
    <w:p w14:paraId="1089E5E8">
      <w:pPr>
        <w:pageBreakBefore w:val="0"/>
        <w:widowControl w:val="0"/>
        <w:kinsoku/>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五、建筑市场领域</w:t>
      </w:r>
      <w:r>
        <w:rPr>
          <w:rFonts w:hint="eastAsia" w:ascii="仿宋" w:hAnsi="仿宋" w:eastAsia="仿宋" w:cs="仿宋"/>
          <w:b/>
          <w:bCs/>
          <w:color w:val="auto"/>
          <w:sz w:val="24"/>
          <w:szCs w:val="24"/>
          <w:highlight w:val="none"/>
        </w:rPr>
        <w:t>严重失信行为</w:t>
      </w:r>
    </w:p>
    <w:p w14:paraId="70B3A850">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（一）利用虚假材料、以欺骗手段取得企业资质的；</w:t>
      </w:r>
    </w:p>
    <w:p w14:paraId="7356EC1D">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（二）发生转包、出借资质，受到行政处罚的；</w:t>
      </w:r>
    </w:p>
    <w:p w14:paraId="326477C8">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37679F31">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（四）经法院判决或仲裁机构裁决，认定为拖欠工程款,且拒不履行生效法律文书确定的义务的。</w:t>
      </w:r>
    </w:p>
    <w:p w14:paraId="5FDA771C">
      <w:pPr>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各级住房城乡建设主管部门应当参照建筑市场主体“黑名单”，对被人力资源社会保障行政部门列入拖欠农民工工资“黑名单”的建筑市场各方主体加强监管。</w:t>
      </w:r>
    </w:p>
    <w:p w14:paraId="73225028">
      <w:pPr>
        <w:pageBreakBefore w:val="0"/>
        <w:widowControl w:val="0"/>
        <w:kinsoku/>
        <w:overflowPunct/>
        <w:topLinePunct w:val="0"/>
        <w:autoSpaceDE/>
        <w:autoSpaceDN/>
        <w:bidi w:val="0"/>
        <w:spacing w:line="400" w:lineRule="exact"/>
        <w:ind w:firstLine="482" w:firstLineChars="200"/>
        <w:jc w:val="lef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依据：《</w:t>
      </w:r>
      <w:bookmarkStart w:id="89" w:name="OLE_LINK17"/>
      <w:bookmarkStart w:id="90" w:name="OLE_LINK18"/>
      <w:r>
        <w:rPr>
          <w:rFonts w:hint="eastAsia" w:ascii="仿宋" w:hAnsi="仿宋" w:eastAsia="仿宋" w:cs="仿宋"/>
          <w:b/>
          <w:color w:val="auto"/>
          <w:sz w:val="24"/>
          <w:szCs w:val="24"/>
          <w:highlight w:val="none"/>
        </w:rPr>
        <w:t>建筑市场信用管理暂行办法</w:t>
      </w:r>
      <w:bookmarkEnd w:id="89"/>
      <w:bookmarkEnd w:id="90"/>
      <w:r>
        <w:rPr>
          <w:rFonts w:hint="eastAsia" w:ascii="仿宋" w:hAnsi="仿宋" w:eastAsia="仿宋" w:cs="仿宋"/>
          <w:b/>
          <w:color w:val="auto"/>
          <w:sz w:val="24"/>
          <w:szCs w:val="24"/>
          <w:highlight w:val="none"/>
        </w:rPr>
        <w:t>》（建市〔2017〕241号</w:t>
      </w:r>
      <w:r>
        <w:rPr>
          <w:rFonts w:hint="eastAsia" w:ascii="仿宋" w:hAnsi="仿宋" w:eastAsia="仿宋" w:cs="仿宋"/>
          <w:b/>
          <w:color w:val="auto"/>
          <w:sz w:val="24"/>
          <w:szCs w:val="24"/>
          <w:highlight w:val="none"/>
          <w:lang w:eastAsia="zh-CN"/>
        </w:rPr>
        <w:t>）</w:t>
      </w:r>
    </w:p>
    <w:p w14:paraId="3B28D49E">
      <w:pPr>
        <w:pageBreakBefore w:val="0"/>
        <w:widowControl w:val="0"/>
        <w:kinsoku/>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w:t>
      </w:r>
      <w:bookmarkStart w:id="91" w:name="OLE_LINK20"/>
      <w:bookmarkStart w:id="92" w:name="OLE_LINK19"/>
      <w:r>
        <w:rPr>
          <w:rFonts w:hint="eastAsia" w:ascii="仿宋" w:hAnsi="仿宋" w:eastAsia="仿宋" w:cs="仿宋"/>
          <w:b/>
          <w:color w:val="auto"/>
          <w:sz w:val="24"/>
          <w:szCs w:val="24"/>
          <w:highlight w:val="none"/>
        </w:rPr>
        <w:t>政府采购严重失信行为</w:t>
      </w:r>
      <w:bookmarkEnd w:id="91"/>
      <w:bookmarkEnd w:id="92"/>
    </w:p>
    <w:p w14:paraId="2EA8C72A">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供应商、采购代理机构在三年内受到财政部门作出下列情形之一的行政处罚，列入政府采购严重违法失信行为记录名单。</w:t>
      </w:r>
    </w:p>
    <w:p w14:paraId="7880BCCB">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（一）三万元以上罚款；</w:t>
      </w:r>
    </w:p>
    <w:p w14:paraId="4D78A3CA">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（二）在一至三年内禁止参加政府采购活动（处罚期限届满的除外）；</w:t>
      </w:r>
    </w:p>
    <w:p w14:paraId="6BFA0296">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（三）在一至三年内禁止代理政府采购业务（处罚期限届满的除外）；</w:t>
      </w:r>
    </w:p>
    <w:p w14:paraId="609BB520">
      <w:pPr>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（四）撤销政府采购代理机构资格（仅针对《政府采购法》第78条修改前作出的处罚决定）。</w:t>
      </w:r>
    </w:p>
    <w:p w14:paraId="4F3CB92B">
      <w:pPr>
        <w:pageBreakBefore w:val="0"/>
        <w:widowControl w:val="0"/>
        <w:kinsoku/>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依据：《关于报送政府采购严重违法失信行为信息记录的通知》（财办库〔2014〕526号）</w:t>
      </w:r>
    </w:p>
    <w:p w14:paraId="4E12A14D">
      <w:pPr>
        <w:pageBreakBefore w:val="0"/>
        <w:widowControl w:val="0"/>
        <w:kinsoku/>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szCs w:val="24"/>
          <w:highlight w:val="none"/>
        </w:rPr>
        <w:t>未列出的其他类别严重失信行为，由招标人（代理机构）根据各类别行业主管部门下发的联合惩戒文件进行判断。</w:t>
      </w:r>
    </w:p>
    <w:p w14:paraId="26012247">
      <w:pPr>
        <w:spacing w:line="440" w:lineRule="exact"/>
        <w:jc w:val="both"/>
        <w:outlineLvl w:val="9"/>
        <w:rPr>
          <w:rFonts w:hint="eastAsia" w:ascii="宋体" w:hAnsi="宋体" w:cs="宋体"/>
          <w:b/>
          <w:color w:val="auto"/>
          <w:sz w:val="32"/>
          <w:szCs w:val="32"/>
          <w:highlight w:val="none"/>
        </w:rPr>
      </w:pPr>
    </w:p>
    <w:p w14:paraId="7E042E40">
      <w:pPr>
        <w:spacing w:line="440" w:lineRule="exact"/>
        <w:jc w:val="both"/>
        <w:outlineLvl w:val="9"/>
        <w:rPr>
          <w:rFonts w:hint="eastAsia" w:ascii="宋体" w:hAnsi="宋体" w:cs="宋体"/>
          <w:b/>
          <w:color w:val="auto"/>
          <w:sz w:val="32"/>
          <w:szCs w:val="32"/>
          <w:highlight w:val="none"/>
        </w:rPr>
      </w:pPr>
    </w:p>
    <w:p w14:paraId="19F836F9">
      <w:pPr>
        <w:spacing w:line="440" w:lineRule="exact"/>
        <w:jc w:val="both"/>
        <w:outlineLvl w:val="9"/>
        <w:rPr>
          <w:rFonts w:hint="eastAsia" w:ascii="宋体" w:hAnsi="宋体" w:cs="宋体"/>
          <w:b/>
          <w:color w:val="auto"/>
          <w:sz w:val="32"/>
          <w:szCs w:val="32"/>
          <w:highlight w:val="none"/>
        </w:rPr>
      </w:pPr>
    </w:p>
    <w:p w14:paraId="761B711B">
      <w:pPr>
        <w:spacing w:line="440" w:lineRule="exact"/>
        <w:jc w:val="both"/>
        <w:outlineLvl w:val="9"/>
        <w:rPr>
          <w:rFonts w:hint="eastAsia" w:ascii="宋体" w:hAnsi="宋体" w:cs="宋体"/>
          <w:b/>
          <w:color w:val="auto"/>
          <w:sz w:val="32"/>
          <w:szCs w:val="32"/>
          <w:highlight w:val="none"/>
        </w:rPr>
      </w:pPr>
    </w:p>
    <w:p w14:paraId="420A9815">
      <w:pPr>
        <w:spacing w:line="440" w:lineRule="exact"/>
        <w:jc w:val="both"/>
        <w:outlineLvl w:val="0"/>
        <w:rPr>
          <w:rFonts w:hint="eastAsia" w:ascii="宋体" w:hAnsi="宋体" w:cs="宋体"/>
          <w:b/>
          <w:color w:val="auto"/>
          <w:sz w:val="32"/>
          <w:szCs w:val="32"/>
          <w:highlight w:val="none"/>
        </w:rPr>
      </w:pPr>
    </w:p>
    <w:p w14:paraId="069273AD">
      <w:pPr>
        <w:pStyle w:val="30"/>
        <w:ind w:left="0" w:leftChars="0" w:firstLine="0" w:firstLineChars="0"/>
        <w:rPr>
          <w:rFonts w:hint="eastAsia" w:asciiTheme="minorEastAsia" w:hAnsiTheme="minorEastAsia" w:eastAsiaTheme="minorEastAsia"/>
          <w:color w:val="auto"/>
          <w:sz w:val="24"/>
          <w:highlight w:val="none"/>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3FBE">
    <w:pPr>
      <w:pStyle w:val="14"/>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5963">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46FA0">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mQb0eKwIAAFUEAAAOAAAAAAAAAAEAIAAAAB8BAABkcnMvZTJvRG9jLnhtbFBLBQYAAAAABgAG&#10;AFkBAAC8BQAAAAA=&#10;">
              <v:fill on="f" focussize="0,0"/>
              <v:stroke on="f" weight="0.5pt"/>
              <v:imagedata o:title=""/>
              <o:lock v:ext="edit" aspectratio="f"/>
              <v:textbox inset="0mm,0mm,0mm,0mm" style="mso-fit-shape-to-text:t;">
                <w:txbxContent>
                  <w:p w14:paraId="4D346FA0">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A679">
    <w:pPr>
      <w:pStyle w:val="16"/>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服务类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1082">
    <w:pPr>
      <w:pStyle w:val="16"/>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2940"/>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E93A1B"/>
    <w:rsid w:val="0214602E"/>
    <w:rsid w:val="03486B27"/>
    <w:rsid w:val="040A094E"/>
    <w:rsid w:val="056F201D"/>
    <w:rsid w:val="05B664D4"/>
    <w:rsid w:val="064B485A"/>
    <w:rsid w:val="068C65C4"/>
    <w:rsid w:val="07076C01"/>
    <w:rsid w:val="071C12AC"/>
    <w:rsid w:val="07A934B3"/>
    <w:rsid w:val="07EB6287"/>
    <w:rsid w:val="0806421B"/>
    <w:rsid w:val="09747B3E"/>
    <w:rsid w:val="0980799C"/>
    <w:rsid w:val="09944B8E"/>
    <w:rsid w:val="0A6A18DB"/>
    <w:rsid w:val="0A975B48"/>
    <w:rsid w:val="0AEF3828"/>
    <w:rsid w:val="0B233DB2"/>
    <w:rsid w:val="0B406381"/>
    <w:rsid w:val="0BB452AA"/>
    <w:rsid w:val="0BBB665B"/>
    <w:rsid w:val="0CA14046"/>
    <w:rsid w:val="0CAA6E21"/>
    <w:rsid w:val="0DF04D08"/>
    <w:rsid w:val="0ECD35A3"/>
    <w:rsid w:val="0EEA6FC1"/>
    <w:rsid w:val="0EEF3211"/>
    <w:rsid w:val="0F790928"/>
    <w:rsid w:val="10CD72BB"/>
    <w:rsid w:val="112E6AAD"/>
    <w:rsid w:val="12197477"/>
    <w:rsid w:val="12380A2C"/>
    <w:rsid w:val="131B5CD3"/>
    <w:rsid w:val="13776448"/>
    <w:rsid w:val="1466407E"/>
    <w:rsid w:val="14834E28"/>
    <w:rsid w:val="148E7D65"/>
    <w:rsid w:val="14BA613B"/>
    <w:rsid w:val="14FC608F"/>
    <w:rsid w:val="15231BF9"/>
    <w:rsid w:val="15441E8D"/>
    <w:rsid w:val="15C4546D"/>
    <w:rsid w:val="186C6E32"/>
    <w:rsid w:val="19526F10"/>
    <w:rsid w:val="1A064976"/>
    <w:rsid w:val="1A3108B0"/>
    <w:rsid w:val="1A3B68AA"/>
    <w:rsid w:val="1A3E1C1E"/>
    <w:rsid w:val="1B6F4F40"/>
    <w:rsid w:val="1C141836"/>
    <w:rsid w:val="1C76537D"/>
    <w:rsid w:val="1DE451CB"/>
    <w:rsid w:val="1E6B6A14"/>
    <w:rsid w:val="1EEF00B4"/>
    <w:rsid w:val="20550D9A"/>
    <w:rsid w:val="218E2416"/>
    <w:rsid w:val="226915FE"/>
    <w:rsid w:val="241804A5"/>
    <w:rsid w:val="24B97929"/>
    <w:rsid w:val="24D632D7"/>
    <w:rsid w:val="25BA7C7E"/>
    <w:rsid w:val="27D65DBA"/>
    <w:rsid w:val="285F40CA"/>
    <w:rsid w:val="289E1AF0"/>
    <w:rsid w:val="28BE7A85"/>
    <w:rsid w:val="28C01ECB"/>
    <w:rsid w:val="29BF71E3"/>
    <w:rsid w:val="29D6387F"/>
    <w:rsid w:val="2A127B63"/>
    <w:rsid w:val="2A451A6C"/>
    <w:rsid w:val="2AAA4765"/>
    <w:rsid w:val="2AC21606"/>
    <w:rsid w:val="2B062266"/>
    <w:rsid w:val="2B7E7608"/>
    <w:rsid w:val="2B7F04E9"/>
    <w:rsid w:val="2B8B554A"/>
    <w:rsid w:val="2D2C4E0A"/>
    <w:rsid w:val="2D496D68"/>
    <w:rsid w:val="2E7A48DE"/>
    <w:rsid w:val="2EBA5177"/>
    <w:rsid w:val="2EDC3ED8"/>
    <w:rsid w:val="2F104B00"/>
    <w:rsid w:val="2F6351B4"/>
    <w:rsid w:val="2FC86126"/>
    <w:rsid w:val="2FCF199E"/>
    <w:rsid w:val="30483E83"/>
    <w:rsid w:val="30BF3991"/>
    <w:rsid w:val="3111619A"/>
    <w:rsid w:val="31935552"/>
    <w:rsid w:val="31B139DC"/>
    <w:rsid w:val="32497AF3"/>
    <w:rsid w:val="343C0775"/>
    <w:rsid w:val="353B47C2"/>
    <w:rsid w:val="356C50EC"/>
    <w:rsid w:val="36137E45"/>
    <w:rsid w:val="36376E0A"/>
    <w:rsid w:val="3700166C"/>
    <w:rsid w:val="376D39F8"/>
    <w:rsid w:val="379A1012"/>
    <w:rsid w:val="38694EE9"/>
    <w:rsid w:val="38C369F1"/>
    <w:rsid w:val="394A0CFB"/>
    <w:rsid w:val="39DD6043"/>
    <w:rsid w:val="3A6818FA"/>
    <w:rsid w:val="3B365CC9"/>
    <w:rsid w:val="3B46294E"/>
    <w:rsid w:val="3B9A7B88"/>
    <w:rsid w:val="3BD333EF"/>
    <w:rsid w:val="3D292CF7"/>
    <w:rsid w:val="3D2C7AC8"/>
    <w:rsid w:val="3D855D12"/>
    <w:rsid w:val="3D8B42FF"/>
    <w:rsid w:val="3DDA2813"/>
    <w:rsid w:val="3DE86C4C"/>
    <w:rsid w:val="3DF36A6E"/>
    <w:rsid w:val="3EBA1EE9"/>
    <w:rsid w:val="3F312C16"/>
    <w:rsid w:val="3F792F1E"/>
    <w:rsid w:val="3FBD063E"/>
    <w:rsid w:val="3FBD419A"/>
    <w:rsid w:val="40791AF0"/>
    <w:rsid w:val="40824826"/>
    <w:rsid w:val="40E63923"/>
    <w:rsid w:val="41B33AA7"/>
    <w:rsid w:val="43501882"/>
    <w:rsid w:val="43A91E5B"/>
    <w:rsid w:val="449E0D39"/>
    <w:rsid w:val="44E841C6"/>
    <w:rsid w:val="45E32B26"/>
    <w:rsid w:val="463A3650"/>
    <w:rsid w:val="46461627"/>
    <w:rsid w:val="469F0116"/>
    <w:rsid w:val="475259B7"/>
    <w:rsid w:val="488302AE"/>
    <w:rsid w:val="48831CF9"/>
    <w:rsid w:val="49024C9C"/>
    <w:rsid w:val="495F62C2"/>
    <w:rsid w:val="49B1408D"/>
    <w:rsid w:val="4A7D4FD2"/>
    <w:rsid w:val="4A913C9A"/>
    <w:rsid w:val="4AC7461F"/>
    <w:rsid w:val="4B1F2EC0"/>
    <w:rsid w:val="4B1F70AC"/>
    <w:rsid w:val="4B240F94"/>
    <w:rsid w:val="4C0832E5"/>
    <w:rsid w:val="4C0D46FC"/>
    <w:rsid w:val="4C3C565C"/>
    <w:rsid w:val="4CCC79C7"/>
    <w:rsid w:val="4D7555C7"/>
    <w:rsid w:val="4EAE6DA0"/>
    <w:rsid w:val="4F6665FD"/>
    <w:rsid w:val="4FE617D9"/>
    <w:rsid w:val="5016514B"/>
    <w:rsid w:val="50BD4DF3"/>
    <w:rsid w:val="50FC1A26"/>
    <w:rsid w:val="5137480A"/>
    <w:rsid w:val="51723664"/>
    <w:rsid w:val="51CB1C78"/>
    <w:rsid w:val="51FD6A51"/>
    <w:rsid w:val="526B680A"/>
    <w:rsid w:val="52836F71"/>
    <w:rsid w:val="52D26B02"/>
    <w:rsid w:val="537D3F15"/>
    <w:rsid w:val="541A5D30"/>
    <w:rsid w:val="54D133A1"/>
    <w:rsid w:val="555836E3"/>
    <w:rsid w:val="55C1559C"/>
    <w:rsid w:val="55F068CD"/>
    <w:rsid w:val="566C3136"/>
    <w:rsid w:val="568D04F2"/>
    <w:rsid w:val="581D136C"/>
    <w:rsid w:val="5A526582"/>
    <w:rsid w:val="5A5F5C77"/>
    <w:rsid w:val="5A711A0D"/>
    <w:rsid w:val="5B1613E4"/>
    <w:rsid w:val="5B78003B"/>
    <w:rsid w:val="5BC11A60"/>
    <w:rsid w:val="5C7A4D54"/>
    <w:rsid w:val="5CD23B73"/>
    <w:rsid w:val="5D4C6553"/>
    <w:rsid w:val="5F127819"/>
    <w:rsid w:val="60350ED3"/>
    <w:rsid w:val="60B72AEE"/>
    <w:rsid w:val="61025188"/>
    <w:rsid w:val="61057D5F"/>
    <w:rsid w:val="611D2084"/>
    <w:rsid w:val="614D4977"/>
    <w:rsid w:val="62421957"/>
    <w:rsid w:val="63C60FC0"/>
    <w:rsid w:val="64BA3D7A"/>
    <w:rsid w:val="64F179BC"/>
    <w:rsid w:val="655C66C3"/>
    <w:rsid w:val="665704D3"/>
    <w:rsid w:val="66A852F5"/>
    <w:rsid w:val="66AB0941"/>
    <w:rsid w:val="67C065A4"/>
    <w:rsid w:val="67D359C9"/>
    <w:rsid w:val="68042537"/>
    <w:rsid w:val="687A681D"/>
    <w:rsid w:val="68C46CA4"/>
    <w:rsid w:val="68FE36DD"/>
    <w:rsid w:val="694E60FC"/>
    <w:rsid w:val="6A256904"/>
    <w:rsid w:val="6B656832"/>
    <w:rsid w:val="6C675CE6"/>
    <w:rsid w:val="6D4F4321"/>
    <w:rsid w:val="6DF41B82"/>
    <w:rsid w:val="6DFF7360"/>
    <w:rsid w:val="6E7A5F73"/>
    <w:rsid w:val="6EE90F9D"/>
    <w:rsid w:val="6FD703B4"/>
    <w:rsid w:val="6FD74228"/>
    <w:rsid w:val="7021106F"/>
    <w:rsid w:val="70D50A94"/>
    <w:rsid w:val="715C2F64"/>
    <w:rsid w:val="71633091"/>
    <w:rsid w:val="726B627F"/>
    <w:rsid w:val="73081CA5"/>
    <w:rsid w:val="739F58FB"/>
    <w:rsid w:val="74201F7D"/>
    <w:rsid w:val="7487762D"/>
    <w:rsid w:val="74C33AA4"/>
    <w:rsid w:val="75210D7A"/>
    <w:rsid w:val="75385498"/>
    <w:rsid w:val="75A30A62"/>
    <w:rsid w:val="75F37776"/>
    <w:rsid w:val="76BC207F"/>
    <w:rsid w:val="76EB4904"/>
    <w:rsid w:val="77645DCD"/>
    <w:rsid w:val="777378F5"/>
    <w:rsid w:val="777A2D3C"/>
    <w:rsid w:val="79074B81"/>
    <w:rsid w:val="794F0939"/>
    <w:rsid w:val="79AF0FCA"/>
    <w:rsid w:val="79C42366"/>
    <w:rsid w:val="7A2517BB"/>
    <w:rsid w:val="7A3929EF"/>
    <w:rsid w:val="7AF9279C"/>
    <w:rsid w:val="7CC51958"/>
    <w:rsid w:val="7CD53DF9"/>
    <w:rsid w:val="7D097C86"/>
    <w:rsid w:val="7E2936C3"/>
    <w:rsid w:val="7E6411B9"/>
    <w:rsid w:val="7F5B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link w:val="50"/>
    <w:semiHidden/>
    <w:unhideWhenUsed/>
    <w:qFormat/>
    <w:uiPriority w:val="9"/>
    <w:pPr>
      <w:keepNext/>
      <w:keepLines/>
      <w:spacing w:before="260" w:after="260" w:line="416" w:lineRule="auto"/>
      <w:outlineLvl w:val="2"/>
    </w:pPr>
    <w:rPr>
      <w:b/>
      <w:bCs/>
      <w:sz w:val="32"/>
      <w:szCs w:val="32"/>
    </w:rPr>
  </w:style>
  <w:style w:type="paragraph" w:styleId="5">
    <w:name w:val="heading 4"/>
    <w:basedOn w:val="1"/>
    <w:link w:val="55"/>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7"/>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37"/>
    <w:qFormat/>
    <w:uiPriority w:val="99"/>
    <w:rPr>
      <w:rFonts w:ascii="宋体" w:hAnsi="Courier New" w:eastAsiaTheme="minorEastAsia" w:cstheme="minorBidi"/>
      <w:szCs w:val="22"/>
    </w:rPr>
  </w:style>
  <w:style w:type="paragraph" w:styleId="12">
    <w:name w:val="Date"/>
    <w:basedOn w:val="1"/>
    <w:link w:val="44"/>
    <w:qFormat/>
    <w:uiPriority w:val="0"/>
    <w:rPr>
      <w:rFonts w:ascii="Arial" w:hAnsi="Arial" w:eastAsia="宋体" w:cs="Arial"/>
      <w:b/>
      <w:sz w:val="28"/>
    </w:rPr>
  </w:style>
  <w:style w:type="paragraph" w:styleId="13">
    <w:name w:val="Balloon Text"/>
    <w:basedOn w:val="1"/>
    <w:link w:val="31"/>
    <w:semiHidden/>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toc 2"/>
    <w:basedOn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9">
    <w:name w:val="Normal (Web)"/>
    <w:basedOn w:val="1"/>
    <w:qFormat/>
    <w:uiPriority w:val="0"/>
    <w:pPr>
      <w:spacing w:before="100" w:beforeAutospacing="1" w:after="100" w:afterAutospacing="1"/>
      <w:jc w:val="left"/>
    </w:pPr>
    <w:rPr>
      <w:rFonts w:cs="Times New Roman"/>
      <w:kern w:val="0"/>
      <w:sz w:val="24"/>
    </w:rPr>
  </w:style>
  <w:style w:type="paragraph" w:styleId="20">
    <w:name w:val="index 1"/>
    <w:basedOn w:val="1"/>
    <w:qFormat/>
    <w:uiPriority w:val="0"/>
    <w:pPr>
      <w:jc w:val="center"/>
    </w:pPr>
    <w:rPr>
      <w:rFonts w:ascii="Arial" w:hAnsi="Arial" w:eastAsia="Arial" w:cs="Arial"/>
      <w:b/>
      <w:bCs/>
      <w:sz w:val="28"/>
    </w:rPr>
  </w:style>
  <w:style w:type="paragraph" w:styleId="21">
    <w:name w:val="annotation subject"/>
    <w:basedOn w:val="7"/>
    <w:link w:val="58"/>
    <w:semiHidden/>
    <w:unhideWhenUsed/>
    <w:qFormat/>
    <w:uiPriority w:val="99"/>
    <w:rPr>
      <w:rFonts w:ascii="@仿宋_GB2312" w:hAnsi="@仿宋_GB2312" w:eastAsia="@仿宋_GB2312" w:cs="@仿宋_GB2312"/>
      <w:b/>
      <w:bCs/>
    </w:rPr>
  </w:style>
  <w:style w:type="paragraph" w:styleId="22">
    <w:name w:val="Body Text First Indent"/>
    <w:basedOn w:val="8"/>
    <w:unhideWhenUsed/>
    <w:qFormat/>
    <w:uiPriority w:val="99"/>
    <w:pPr>
      <w:ind w:firstLine="420" w:firstLineChars="100"/>
    </w:pPr>
  </w:style>
  <w:style w:type="paragraph" w:styleId="23">
    <w:name w:val="Body Text First Indent 2"/>
    <w:basedOn w:val="9"/>
    <w:qFormat/>
    <w:uiPriority w:val="0"/>
    <w:pPr>
      <w:ind w:left="420" w:firstLine="420" w:firstLineChars="200"/>
    </w:pPr>
    <w:rPr>
      <w:rFonts w:ascii="Times New Roman" w:hAnsi="Times New Roman" w:eastAsia="宋体" w:cs="Times New Roman"/>
    </w:rPr>
  </w:style>
  <w:style w:type="table" w:styleId="25">
    <w:name w:val="Table Grid"/>
    <w:basedOn w:val="2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paragraph" w:customStyle="1" w:styleId="30">
    <w:name w:val="首行缩进"/>
    <w:basedOn w:val="1"/>
    <w:qFormat/>
    <w:uiPriority w:val="0"/>
    <w:pPr>
      <w:ind w:firstLine="480" w:firstLineChars="200"/>
    </w:pPr>
    <w:rPr>
      <w:lang w:val="zh-CN"/>
    </w:rPr>
  </w:style>
  <w:style w:type="character" w:customStyle="1" w:styleId="31">
    <w:name w:val="批注框文本 Char"/>
    <w:basedOn w:val="26"/>
    <w:link w:val="13"/>
    <w:semiHidden/>
    <w:qFormat/>
    <w:uiPriority w:val="99"/>
    <w:rPr>
      <w:rFonts w:ascii="@仿宋_GB2312" w:hAnsi="@仿宋_GB2312" w:eastAsia="@仿宋_GB2312" w:cs="@仿宋_GB2312"/>
      <w:sz w:val="18"/>
      <w:szCs w:val="18"/>
    </w:rPr>
  </w:style>
  <w:style w:type="paragraph" w:customStyle="1" w:styleId="32">
    <w:name w:val="正文（缩进）"/>
    <w:basedOn w:val="1"/>
    <w:qFormat/>
    <w:uiPriority w:val="0"/>
    <w:pPr>
      <w:widowControl/>
      <w:spacing w:before="156" w:after="156"/>
      <w:ind w:firstLine="480" w:firstLineChars="200"/>
      <w:jc w:val="left"/>
    </w:pPr>
    <w:rPr>
      <w:kern w:val="0"/>
      <w:sz w:val="24"/>
      <w:szCs w:val="24"/>
    </w:rPr>
  </w:style>
  <w:style w:type="paragraph" w:customStyle="1" w:styleId="33">
    <w:name w:val="xl31"/>
    <w:basedOn w:val="1"/>
    <w:qFormat/>
    <w:uiPriority w:val="0"/>
    <w:pPr>
      <w:widowControl/>
      <w:spacing w:before="100" w:beforeAutospacing="1" w:after="100" w:afterAutospacing="1"/>
      <w:jc w:val="center"/>
    </w:pPr>
    <w:rPr>
      <w:b/>
      <w:bCs/>
      <w:kern w:val="0"/>
      <w:sz w:val="28"/>
      <w:szCs w:val="28"/>
    </w:rPr>
  </w:style>
  <w:style w:type="paragraph" w:customStyle="1" w:styleId="34">
    <w:name w:val="D&amp;L"/>
    <w:basedOn w:val="16"/>
    <w:qFormat/>
    <w:uiPriority w:val="0"/>
    <w:pPr>
      <w:pBdr>
        <w:bottom w:val="thinThickSmallGap" w:color="auto" w:sz="18" w:space="1"/>
      </w:pBdr>
      <w:adjustRightInd w:val="0"/>
      <w:snapToGrid/>
      <w:spacing w:line="240" w:lineRule="atLeast"/>
    </w:pPr>
    <w:rPr>
      <w:kern w:val="0"/>
      <w:sz w:val="24"/>
      <w:szCs w:val="20"/>
    </w:rPr>
  </w:style>
  <w:style w:type="character" w:customStyle="1" w:styleId="35">
    <w:name w:val="页眉 Char"/>
    <w:basedOn w:val="26"/>
    <w:link w:val="16"/>
    <w:qFormat/>
    <w:uiPriority w:val="99"/>
    <w:rPr>
      <w:rFonts w:ascii="@仿宋_GB2312" w:hAnsi="@仿宋_GB2312" w:eastAsia="@仿宋_GB2312" w:cs="@仿宋_GB2312"/>
      <w:sz w:val="18"/>
      <w:szCs w:val="18"/>
    </w:rPr>
  </w:style>
  <w:style w:type="character" w:customStyle="1" w:styleId="36">
    <w:name w:val="页脚 Char"/>
    <w:basedOn w:val="26"/>
    <w:link w:val="14"/>
    <w:qFormat/>
    <w:uiPriority w:val="99"/>
    <w:rPr>
      <w:rFonts w:ascii="@仿宋_GB2312" w:hAnsi="@仿宋_GB2312" w:eastAsia="@仿宋_GB2312" w:cs="@仿宋_GB2312"/>
      <w:sz w:val="18"/>
      <w:szCs w:val="18"/>
    </w:rPr>
  </w:style>
  <w:style w:type="character" w:customStyle="1" w:styleId="37">
    <w:name w:val="纯文本 Char"/>
    <w:link w:val="11"/>
    <w:qFormat/>
    <w:uiPriority w:val="0"/>
    <w:rPr>
      <w:rFonts w:ascii="宋体" w:hAnsi="Courier New"/>
    </w:rPr>
  </w:style>
  <w:style w:type="character" w:customStyle="1" w:styleId="38">
    <w:name w:val="纯文本 字符1"/>
    <w:basedOn w:val="26"/>
    <w:semiHidden/>
    <w:qFormat/>
    <w:uiPriority w:val="99"/>
    <w:rPr>
      <w:rFonts w:hAnsi="Courier New" w:cs="Courier New" w:asciiTheme="minorEastAsia"/>
      <w:szCs w:val="20"/>
    </w:rPr>
  </w:style>
  <w:style w:type="character" w:customStyle="1" w:styleId="39">
    <w:name w:val="未处理的提及1"/>
    <w:basedOn w:val="26"/>
    <w:semiHidden/>
    <w:unhideWhenUsed/>
    <w:qFormat/>
    <w:uiPriority w:val="99"/>
    <w:rPr>
      <w:color w:val="605E5C"/>
      <w:shd w:val="clear" w:color="auto" w:fill="E1DFDD"/>
    </w:rPr>
  </w:style>
  <w:style w:type="paragraph" w:styleId="40">
    <w:name w:val="List Paragraph"/>
    <w:basedOn w:val="1"/>
    <w:qFormat/>
    <w:uiPriority w:val="34"/>
    <w:pPr>
      <w:ind w:firstLine="420" w:firstLineChars="200"/>
    </w:pPr>
  </w:style>
  <w:style w:type="paragraph" w:customStyle="1" w:styleId="41">
    <w:name w:val="Char Char Char Char Char Char Char1 Char"/>
    <w:basedOn w:val="1"/>
    <w:qFormat/>
    <w:uiPriority w:val="0"/>
    <w:rPr>
      <w:rFonts w:ascii="Arial" w:hAnsi="Arial" w:eastAsia="宋体" w:cs="Arial"/>
      <w:sz w:val="24"/>
    </w:rPr>
  </w:style>
  <w:style w:type="table" w:customStyle="1" w:styleId="42">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3">
    <w:name w:val="日期 字符"/>
    <w:basedOn w:val="26"/>
    <w:semiHidden/>
    <w:qFormat/>
    <w:uiPriority w:val="99"/>
    <w:rPr>
      <w:rFonts w:ascii="@仿宋_GB2312" w:hAnsi="@仿宋_GB2312" w:eastAsia="@仿宋_GB2312" w:cs="@仿宋_GB2312"/>
      <w:szCs w:val="20"/>
    </w:rPr>
  </w:style>
  <w:style w:type="character" w:customStyle="1" w:styleId="44">
    <w:name w:val="日期 Char"/>
    <w:link w:val="12"/>
    <w:qFormat/>
    <w:uiPriority w:val="0"/>
    <w:rPr>
      <w:rFonts w:ascii="Arial" w:hAnsi="Arial" w:eastAsia="宋体" w:cs="Arial"/>
      <w:b/>
      <w:sz w:val="28"/>
      <w:szCs w:val="20"/>
    </w:rPr>
  </w:style>
  <w:style w:type="character" w:customStyle="1" w:styleId="45">
    <w:name w:val="纯文本 Char1"/>
    <w:qFormat/>
    <w:uiPriority w:val="99"/>
    <w:rPr>
      <w:rFonts w:ascii="Arial" w:hAnsi="Arial" w:eastAsia="Arial"/>
      <w:kern w:val="2"/>
      <w:sz w:val="21"/>
      <w:lang w:val="en-US" w:eastAsia="zh-CN" w:bidi="ar-SA"/>
    </w:rPr>
  </w:style>
  <w:style w:type="character" w:customStyle="1" w:styleId="46">
    <w:name w:val="批注文字 Char"/>
    <w:basedOn w:val="26"/>
    <w:semiHidden/>
    <w:qFormat/>
    <w:uiPriority w:val="99"/>
    <w:rPr>
      <w:rFonts w:ascii="@仿宋_GB2312" w:hAnsi="@仿宋_GB2312" w:eastAsia="@仿宋_GB2312" w:cs="@仿宋_GB2312"/>
      <w:szCs w:val="20"/>
    </w:rPr>
  </w:style>
  <w:style w:type="character" w:customStyle="1" w:styleId="47">
    <w:name w:val="批注文字 Char1"/>
    <w:link w:val="7"/>
    <w:qFormat/>
    <w:uiPriority w:val="0"/>
    <w:rPr>
      <w:rFonts w:ascii="Arial" w:hAnsi="Arial" w:eastAsia="黑体" w:cs="Arial"/>
      <w:szCs w:val="20"/>
    </w:rPr>
  </w:style>
  <w:style w:type="character" w:customStyle="1" w:styleId="48">
    <w:name w:val="标题 1 Char"/>
    <w:basedOn w:val="26"/>
    <w:link w:val="2"/>
    <w:qFormat/>
    <w:uiPriority w:val="9"/>
    <w:rPr>
      <w:rFonts w:ascii="@仿宋_GB2312" w:hAnsi="@仿宋_GB2312" w:eastAsia="@仿宋_GB2312" w:cs="@仿宋_GB2312"/>
      <w:b/>
      <w:bCs/>
      <w:kern w:val="44"/>
      <w:sz w:val="44"/>
      <w:szCs w:val="44"/>
    </w:rPr>
  </w:style>
  <w:style w:type="paragraph" w:customStyle="1" w:styleId="49">
    <w:name w:val="TOC 标题1"/>
    <w:basedOn w:val="2"/>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标题 3 Char"/>
    <w:basedOn w:val="26"/>
    <w:link w:val="4"/>
    <w:semiHidden/>
    <w:qFormat/>
    <w:uiPriority w:val="9"/>
    <w:rPr>
      <w:rFonts w:ascii="@仿宋_GB2312" w:hAnsi="@仿宋_GB2312" w:eastAsia="@仿宋_GB2312" w:cs="@仿宋_GB2312"/>
      <w:b/>
      <w:bCs/>
      <w:sz w:val="32"/>
      <w:szCs w:val="32"/>
    </w:rPr>
  </w:style>
  <w:style w:type="character" w:customStyle="1" w:styleId="51">
    <w:name w:val="fontstyle01"/>
    <w:basedOn w:val="26"/>
    <w:qFormat/>
    <w:uiPriority w:val="0"/>
    <w:rPr>
      <w:rFonts w:hint="eastAsia" w:ascii="宋体" w:hAnsi="宋体" w:eastAsia="宋体"/>
      <w:color w:val="000000"/>
      <w:sz w:val="22"/>
      <w:szCs w:val="22"/>
    </w:rPr>
  </w:style>
  <w:style w:type="character" w:customStyle="1" w:styleId="52">
    <w:name w:val="fontstyle21"/>
    <w:basedOn w:val="26"/>
    <w:qFormat/>
    <w:uiPriority w:val="0"/>
    <w:rPr>
      <w:rFonts w:hint="default" w:ascii="TimesNewRomanPSMT" w:hAnsi="TimesNewRomanPSMT"/>
      <w:color w:val="000000"/>
      <w:sz w:val="22"/>
      <w:szCs w:val="22"/>
    </w:rPr>
  </w:style>
  <w:style w:type="character" w:customStyle="1" w:styleId="53">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4">
    <w:name w:val="标题 4 字符"/>
    <w:basedOn w:val="26"/>
    <w:semiHidden/>
    <w:qFormat/>
    <w:uiPriority w:val="9"/>
    <w:rPr>
      <w:rFonts w:asciiTheme="majorHAnsi" w:hAnsiTheme="majorHAnsi" w:eastAsiaTheme="majorEastAsia" w:cstheme="majorBidi"/>
      <w:b/>
      <w:bCs/>
      <w:sz w:val="28"/>
      <w:szCs w:val="28"/>
    </w:rPr>
  </w:style>
  <w:style w:type="character" w:customStyle="1" w:styleId="55">
    <w:name w:val="标题 4 Char1"/>
    <w:link w:val="5"/>
    <w:qFormat/>
    <w:uiPriority w:val="0"/>
    <w:rPr>
      <w:rFonts w:ascii="@仿宋_GB2312" w:hAnsi="@仿宋_GB2312" w:eastAsia="@仿宋_GB2312" w:cs="@仿宋_GB2312"/>
      <w:b/>
      <w:bCs/>
      <w:sz w:val="28"/>
      <w:szCs w:val="28"/>
    </w:rPr>
  </w:style>
  <w:style w:type="character" w:customStyle="1" w:styleId="56">
    <w:name w:val="标题 4 Char"/>
    <w:qFormat/>
    <w:uiPriority w:val="0"/>
    <w:rPr>
      <w:rFonts w:ascii="Arial" w:hAnsi="Arial" w:eastAsia="Arial"/>
      <w:b/>
      <w:bCs/>
      <w:kern w:val="2"/>
      <w:sz w:val="28"/>
      <w:szCs w:val="28"/>
      <w:lang w:val="en-US" w:eastAsia="zh-CN" w:bidi="ar-SA"/>
    </w:rPr>
  </w:style>
  <w:style w:type="table" w:customStyle="1" w:styleId="57">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8">
    <w:name w:val="批注主题 Char"/>
    <w:basedOn w:val="47"/>
    <w:link w:val="21"/>
    <w:semiHidden/>
    <w:qFormat/>
    <w:uiPriority w:val="99"/>
    <w:rPr>
      <w:rFonts w:ascii="@仿宋_GB2312" w:hAnsi="@仿宋_GB2312" w:eastAsia="@仿宋_GB2312" w:cs="@仿宋_GB2312"/>
      <w:b/>
      <w:bCs/>
      <w:szCs w:val="20"/>
    </w:rPr>
  </w:style>
  <w:style w:type="table" w:customStyle="1" w:styleId="59">
    <w:name w:val="Table Normal"/>
    <w:semiHidden/>
    <w:unhideWhenUsed/>
    <w:qFormat/>
    <w:uiPriority w:val="0"/>
    <w:tblPr>
      <w:tblCellMar>
        <w:top w:w="0" w:type="dxa"/>
        <w:left w:w="0" w:type="dxa"/>
        <w:bottom w:w="0" w:type="dxa"/>
        <w:right w:w="0" w:type="dxa"/>
      </w:tblCellMar>
    </w:tblPr>
  </w:style>
  <w:style w:type="paragraph" w:customStyle="1" w:styleId="60">
    <w:name w:val="Table Text"/>
    <w:basedOn w:val="1"/>
    <w:semiHidden/>
    <w:qFormat/>
    <w:uiPriority w:val="0"/>
    <w:rPr>
      <w:rFonts w:ascii="Arial" w:hAnsi="Arial" w:eastAsia="Arial" w:cs="Arial"/>
      <w:sz w:val="21"/>
      <w:szCs w:val="21"/>
      <w:lang w:val="en-US" w:eastAsia="en-US" w:bidi="ar-SA"/>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2">
    <w:name w:val="列出段落1"/>
    <w:basedOn w:val="1"/>
    <w:qFormat/>
    <w:uiPriority w:val="0"/>
    <w:pPr>
      <w:ind w:firstLine="420" w:firstLineChars="200"/>
    </w:pPr>
    <w:rPr>
      <w:szCs w:val="21"/>
    </w:rPr>
  </w:style>
  <w:style w:type="paragraph" w:customStyle="1" w:styleId="63">
    <w:name w:val="段落文字"/>
    <w:basedOn w:val="1"/>
    <w:qFormat/>
    <w:uiPriority w:val="0"/>
    <w:pPr>
      <w:spacing w:line="360" w:lineRule="auto"/>
      <w:ind w:firstLine="420" w:firstLineChars="200"/>
    </w:pPr>
    <w:rPr>
      <w:rFonts w:cs="宋体"/>
    </w:rPr>
  </w:style>
  <w:style w:type="paragraph" w:customStyle="1" w:styleId="64">
    <w:name w:val="自动更正"/>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48</Pages>
  <Words>1190</Words>
  <Characters>1278</Characters>
  <Lines>1</Lines>
  <Paragraphs>1</Paragraphs>
  <TotalTime>11</TotalTime>
  <ScaleCrop>false</ScaleCrop>
  <LinksUpToDate>false</LinksUpToDate>
  <CharactersWithSpaces>1346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揚帆启航</cp:lastModifiedBy>
  <dcterms:modified xsi:type="dcterms:W3CDTF">2025-07-30T07:49:09Z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E1C37281B7624A91BEECD223F0BFDAC6_13</vt:lpwstr>
  </property>
  <property fmtid="{D5CDD505-2E9C-101B-9397-08002B2CF9AE}" pid="4" name="KSOTemplateDocerSaveRecord">
    <vt:lpwstr>eyJoZGlkIjoiYmExNjA4YzE1YTVhOTk1YTlmMDdiZGMyM2JmOGYxZWIiLCJ1c2VySWQiOiIyNzYwMjQyNjMifQ==</vt:lpwstr>
  </property>
</Properties>
</file>